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Pr="003C539F" w:rsidRDefault="00071DD4" w:rsidP="001533C0">
      <w:pPr>
        <w:spacing w:after="0" w:line="276" w:lineRule="auto"/>
        <w:jc w:val="both"/>
        <w:rPr>
          <w:rFonts w:ascii="Palatino Linotype" w:hAnsi="Palatino Linotype" w:cs="Tahoma"/>
          <w:b/>
        </w:rPr>
      </w:pPr>
      <w:r w:rsidRPr="003C539F">
        <w:rPr>
          <w:rFonts w:ascii="Palatino Linotype" w:hAnsi="Palatino Linotype" w:cs="Tahoma"/>
          <w:b/>
        </w:rPr>
        <w:t xml:space="preserve">VOTO PARTICULAR QUE FORMULA EL COMISIONADO LUIS GUSTAVO PARRA NORIEGA, EN RELACIÓN CON LA RESOLUCIÓN </w:t>
      </w:r>
      <w:r w:rsidR="00B3298D" w:rsidRPr="003C539F">
        <w:rPr>
          <w:rFonts w:ascii="Palatino Linotype" w:hAnsi="Palatino Linotype" w:cs="Tahoma"/>
          <w:b/>
        </w:rPr>
        <w:t xml:space="preserve">DICTADA POR EL PLENO DEL INSTITUTO DE TRANSPARENCIA, ACCESO A LA INFORMACIÓN PÚBLICA Y PROTECCIÓN DE DATOS PERSONALES DEL ESTADO DE MÉXICO Y MUNICIPIOS, EN LA CUADRAGÉSIMA SEXTA SESIÓN ORDINARIA DEL </w:t>
      </w:r>
      <w:r w:rsidR="003C539F">
        <w:rPr>
          <w:rFonts w:ascii="Palatino Linotype" w:hAnsi="Palatino Linotype" w:cs="Tahoma"/>
          <w:b/>
        </w:rPr>
        <w:t>DOCE</w:t>
      </w:r>
      <w:r w:rsidR="00B3298D" w:rsidRPr="003C539F">
        <w:rPr>
          <w:rFonts w:ascii="Palatino Linotype" w:hAnsi="Palatino Linotype" w:cs="Tahoma"/>
          <w:b/>
        </w:rPr>
        <w:t xml:space="preserve"> DE DICIEMBRE DE DOS MIL DIECIOCHO, EN EL RECURSO DE REVISIÓN 03984/INFOEM/IP/RR/2018.</w:t>
      </w:r>
    </w:p>
    <w:p w:rsidR="00B3298D" w:rsidRPr="003C539F" w:rsidRDefault="00B3298D" w:rsidP="001533C0">
      <w:pPr>
        <w:spacing w:after="0" w:line="276" w:lineRule="auto"/>
        <w:jc w:val="both"/>
        <w:rPr>
          <w:rFonts w:ascii="Palatino Linotype" w:hAnsi="Palatino Linotype" w:cs="Tahoma"/>
        </w:rPr>
      </w:pPr>
    </w:p>
    <w:p w:rsidR="00071DD4" w:rsidRPr="003C539F" w:rsidRDefault="00071DD4" w:rsidP="001533C0">
      <w:pPr>
        <w:spacing w:after="0" w:line="276" w:lineRule="auto"/>
        <w:jc w:val="both"/>
        <w:rPr>
          <w:rFonts w:ascii="Palatino Linotype" w:hAnsi="Palatino Linotype" w:cs="Tahoma"/>
          <w:bCs/>
        </w:rPr>
      </w:pPr>
      <w:r w:rsidRPr="003C539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C539F">
        <w:rPr>
          <w:rFonts w:ascii="Palatino Linotype" w:hAnsi="Palatino Linotype" w:cs="Tahoma"/>
          <w:b/>
        </w:rPr>
        <w:t>Voto Particular</w:t>
      </w:r>
      <w:r w:rsidRPr="003C539F">
        <w:rPr>
          <w:rFonts w:ascii="Palatino Linotype" w:hAnsi="Palatino Linotype" w:cs="Tahoma"/>
        </w:rPr>
        <w:t xml:space="preserve"> por no compartir en su totalidad las consideraciones que sustentan la Resol</w:t>
      </w:r>
      <w:r w:rsidR="00B3298D" w:rsidRPr="003C539F">
        <w:rPr>
          <w:rFonts w:ascii="Palatino Linotype" w:hAnsi="Palatino Linotype" w:cs="Tahoma"/>
        </w:rPr>
        <w:t>ución del Recurso de Revisión 03984</w:t>
      </w:r>
      <w:r w:rsidRPr="003C539F">
        <w:rPr>
          <w:rFonts w:ascii="Palatino Linotype" w:hAnsi="Palatino Linotype" w:cs="Tahoma"/>
          <w:bCs/>
        </w:rPr>
        <w:t>/INFOEM/IP/RR/201</w:t>
      </w:r>
      <w:r w:rsidR="00F86F4C" w:rsidRPr="003C539F">
        <w:rPr>
          <w:rFonts w:ascii="Palatino Linotype" w:hAnsi="Palatino Linotype" w:cs="Tahoma"/>
          <w:bCs/>
        </w:rPr>
        <w:t>8</w:t>
      </w:r>
      <w:r w:rsidR="00B3298D" w:rsidRPr="003C539F">
        <w:rPr>
          <w:rFonts w:ascii="Palatino Linotype" w:hAnsi="Palatino Linotype" w:cs="Tahoma"/>
          <w:bCs/>
        </w:rPr>
        <w:t>.</w:t>
      </w:r>
    </w:p>
    <w:p w:rsidR="00B3298D" w:rsidRPr="003C539F" w:rsidRDefault="00B3298D" w:rsidP="001533C0">
      <w:pPr>
        <w:spacing w:after="0" w:line="276" w:lineRule="auto"/>
        <w:jc w:val="both"/>
        <w:rPr>
          <w:rFonts w:ascii="Palatino Linotype" w:hAnsi="Palatino Linotype" w:cs="Tahoma"/>
        </w:rPr>
      </w:pPr>
    </w:p>
    <w:p w:rsidR="00071DD4" w:rsidRPr="003C539F" w:rsidRDefault="00071DD4" w:rsidP="001533C0">
      <w:pPr>
        <w:spacing w:after="0" w:line="276" w:lineRule="auto"/>
        <w:jc w:val="both"/>
        <w:rPr>
          <w:rFonts w:ascii="Palatino Linotype" w:hAnsi="Palatino Linotype" w:cs="Tahoma"/>
        </w:rPr>
      </w:pPr>
      <w:r w:rsidRPr="003C539F">
        <w:rPr>
          <w:rFonts w:ascii="Palatino Linotype" w:hAnsi="Palatino Linotype" w:cs="Tahoma"/>
        </w:rPr>
        <w:t xml:space="preserve">Como se advierte en los antecedentes de la </w:t>
      </w:r>
      <w:r w:rsidR="003C539F">
        <w:rPr>
          <w:rFonts w:ascii="Palatino Linotype" w:hAnsi="Palatino Linotype" w:cs="Tahoma"/>
        </w:rPr>
        <w:t>R</w:t>
      </w:r>
      <w:r w:rsidRPr="003C539F">
        <w:rPr>
          <w:rFonts w:ascii="Palatino Linotype" w:hAnsi="Palatino Linotype" w:cs="Tahoma"/>
        </w:rPr>
        <w:t xml:space="preserve">esolución del </w:t>
      </w:r>
      <w:r w:rsidR="003C539F">
        <w:rPr>
          <w:rFonts w:ascii="Palatino Linotype" w:hAnsi="Palatino Linotype" w:cs="Tahoma"/>
        </w:rPr>
        <w:t>R</w:t>
      </w:r>
      <w:r w:rsidRPr="003C539F">
        <w:rPr>
          <w:rFonts w:ascii="Palatino Linotype" w:hAnsi="Palatino Linotype" w:cs="Tahoma"/>
        </w:rPr>
        <w:t xml:space="preserve">ecurso de </w:t>
      </w:r>
      <w:r w:rsidR="003C539F">
        <w:rPr>
          <w:rFonts w:ascii="Palatino Linotype" w:hAnsi="Palatino Linotype" w:cs="Tahoma"/>
        </w:rPr>
        <w:t>R</w:t>
      </w:r>
      <w:r w:rsidRPr="003C539F">
        <w:rPr>
          <w:rFonts w:ascii="Palatino Linotype" w:hAnsi="Palatino Linotype" w:cs="Tahoma"/>
        </w:rPr>
        <w:t xml:space="preserve">evisión que nos ocupa, el </w:t>
      </w:r>
      <w:r w:rsidR="00403972" w:rsidRPr="003C539F">
        <w:rPr>
          <w:rFonts w:ascii="Palatino Linotype" w:hAnsi="Palatino Linotype" w:cs="Tahoma"/>
        </w:rPr>
        <w:t xml:space="preserve">solicitante </w:t>
      </w:r>
      <w:r w:rsidRPr="003C539F">
        <w:rPr>
          <w:rFonts w:ascii="Palatino Linotype" w:hAnsi="Palatino Linotype" w:cs="Tahoma"/>
        </w:rPr>
        <w:t>requirió conocer</w:t>
      </w:r>
      <w:r w:rsidR="007C023A">
        <w:rPr>
          <w:rFonts w:ascii="Palatino Linotype" w:hAnsi="Palatino Linotype" w:cs="Tahoma"/>
        </w:rPr>
        <w:t xml:space="preserve"> del Organismo de Agua y Saneamiento de Toluca,</w:t>
      </w:r>
      <w:r w:rsidRPr="003C539F">
        <w:rPr>
          <w:rFonts w:ascii="Palatino Linotype" w:hAnsi="Palatino Linotype" w:cs="Tahoma"/>
        </w:rPr>
        <w:t xml:space="preserve"> lo siguiente:</w:t>
      </w:r>
    </w:p>
    <w:p w:rsidR="00071DD4" w:rsidRPr="00403972" w:rsidRDefault="00071DD4" w:rsidP="001533C0">
      <w:pPr>
        <w:spacing w:after="0" w:line="276" w:lineRule="auto"/>
        <w:ind w:left="567" w:right="567"/>
        <w:jc w:val="both"/>
        <w:rPr>
          <w:rFonts w:ascii="Palatino Linotype" w:hAnsi="Palatino Linotype" w:cs="Tahoma"/>
          <w:sz w:val="24"/>
          <w:szCs w:val="24"/>
        </w:rPr>
      </w:pPr>
    </w:p>
    <w:p w:rsidR="00AF0152" w:rsidRPr="00403972" w:rsidRDefault="0022580A" w:rsidP="001533C0">
      <w:pPr>
        <w:pStyle w:val="Prrafodelista"/>
        <w:numPr>
          <w:ilvl w:val="0"/>
          <w:numId w:val="3"/>
        </w:numPr>
        <w:spacing w:after="0" w:line="276" w:lineRule="auto"/>
        <w:ind w:left="567" w:right="567"/>
        <w:jc w:val="both"/>
        <w:rPr>
          <w:rFonts w:ascii="Palatino Linotype" w:eastAsia="Calibri" w:hAnsi="Palatino Linotype" w:cs="Arial"/>
          <w:i/>
          <w:sz w:val="24"/>
          <w:szCs w:val="24"/>
        </w:rPr>
      </w:pPr>
      <w:r w:rsidRPr="00403972">
        <w:rPr>
          <w:rFonts w:ascii="Palatino Linotype" w:hAnsi="Palatino Linotype"/>
          <w:b/>
          <w:sz w:val="24"/>
          <w:szCs w:val="24"/>
        </w:rPr>
        <w:t>00020</w:t>
      </w:r>
      <w:r w:rsidR="007139EA" w:rsidRPr="00403972">
        <w:rPr>
          <w:rFonts w:ascii="Palatino Linotype" w:hAnsi="Palatino Linotype"/>
          <w:b/>
          <w:sz w:val="24"/>
          <w:szCs w:val="24"/>
        </w:rPr>
        <w:t>/</w:t>
      </w:r>
      <w:r w:rsidRPr="00403972">
        <w:rPr>
          <w:rFonts w:ascii="Palatino Linotype" w:hAnsi="Palatino Linotype"/>
          <w:b/>
          <w:sz w:val="24"/>
          <w:szCs w:val="24"/>
        </w:rPr>
        <w:t>OASTOL</w:t>
      </w:r>
      <w:r w:rsidR="00AF0152" w:rsidRPr="00403972">
        <w:rPr>
          <w:rFonts w:ascii="Palatino Linotype" w:hAnsi="Palatino Linotype"/>
          <w:b/>
          <w:sz w:val="24"/>
          <w:szCs w:val="24"/>
        </w:rPr>
        <w:t>/IP/2018</w:t>
      </w:r>
    </w:p>
    <w:p w:rsidR="00AF0152" w:rsidRDefault="00AF0152" w:rsidP="001533C0">
      <w:pPr>
        <w:spacing w:after="0" w:line="276" w:lineRule="auto"/>
        <w:ind w:left="567" w:right="567"/>
        <w:jc w:val="both"/>
        <w:rPr>
          <w:rFonts w:ascii="Palatino Linotype" w:eastAsia="Calibri" w:hAnsi="Palatino Linotype" w:cs="Arial"/>
          <w:i/>
          <w:sz w:val="24"/>
          <w:szCs w:val="24"/>
        </w:rPr>
      </w:pPr>
      <w:r w:rsidRPr="00403972">
        <w:rPr>
          <w:rFonts w:ascii="Palatino Linotype" w:eastAsia="Calibri" w:hAnsi="Palatino Linotype" w:cs="Arial"/>
          <w:i/>
          <w:sz w:val="24"/>
          <w:szCs w:val="24"/>
        </w:rPr>
        <w:t>“</w:t>
      </w:r>
      <w:r w:rsidR="007A328C" w:rsidRPr="00403972">
        <w:rPr>
          <w:rFonts w:ascii="Palatino Linotype" w:hAnsi="Palatino Linotype"/>
          <w:i/>
          <w:color w:val="000000"/>
          <w:sz w:val="24"/>
          <w:szCs w:val="24"/>
        </w:rPr>
        <w:t xml:space="preserve">Altas y Bajas de todo el personal de todo el organismo a partir del 2017 a octubre de 2018. Actividades realizadas de cada uno de ellos. (Información probatoria de sus actividades) Curriculum vitae de todo el personal dado de alta a partir de 2017 a octubre de 2018 (en formato abierto, es decir un resumen de su curriculum, nombre y escolaridad) Documentos probatorios de escolaridad de todo el personal dado de alta en las fechas mencionadas Numero de laudos 2016 a 2018 (a la fecha) Adeudo de en laudos 2016 a 2018 (a la fecha) </w:t>
      </w:r>
      <w:proofErr w:type="spellStart"/>
      <w:r w:rsidR="007A328C" w:rsidRPr="00403972">
        <w:rPr>
          <w:rFonts w:ascii="Palatino Linotype" w:hAnsi="Palatino Linotype"/>
          <w:i/>
          <w:color w:val="000000"/>
          <w:sz w:val="24"/>
          <w:szCs w:val="24"/>
        </w:rPr>
        <w:t>Numero</w:t>
      </w:r>
      <w:proofErr w:type="spellEnd"/>
      <w:r w:rsidR="007A328C" w:rsidRPr="00403972">
        <w:rPr>
          <w:rFonts w:ascii="Palatino Linotype" w:hAnsi="Palatino Linotype"/>
          <w:i/>
          <w:color w:val="000000"/>
          <w:sz w:val="24"/>
          <w:szCs w:val="24"/>
        </w:rPr>
        <w:t xml:space="preserve"> de demandas de proveedores 2016 a 2018 (a la fecha) Adeudo en demandas de proveedores 2016 a 2018 (a la fecha) Nombres del personal que esta comisionado </w:t>
      </w:r>
      <w:r w:rsidR="007A328C" w:rsidRPr="00403972">
        <w:rPr>
          <w:rFonts w:ascii="Palatino Linotype" w:hAnsi="Palatino Linotype"/>
          <w:i/>
          <w:color w:val="000000"/>
          <w:sz w:val="24"/>
          <w:szCs w:val="24"/>
        </w:rPr>
        <w:lastRenderedPageBreak/>
        <w:t>a otras áreas que no es de su adscripción, soporte documental de esta Comisión en donde establezca el inicio y el termino de su comisión (2016 a 2018 a la fecha) Nombres y cargo del personal de base 2016 a 2018 Nombres del personal de confianza 2016 a 2018 Adeudo total del organismo desglosado 2016 al 2018 Presupuesto asignado a cada Dirección del organismo Numero de personal asignado por Dirección Todo lo anterior entregado en el Sistema</w:t>
      </w:r>
      <w:r w:rsidR="00CA4BCB" w:rsidRPr="00403972">
        <w:rPr>
          <w:rFonts w:ascii="Palatino Linotype" w:eastAsia="Calibri" w:hAnsi="Palatino Linotype" w:cs="Arial"/>
          <w:i/>
          <w:sz w:val="24"/>
          <w:szCs w:val="24"/>
        </w:rPr>
        <w:t>” (S</w:t>
      </w:r>
      <w:r w:rsidRPr="00403972">
        <w:rPr>
          <w:rFonts w:ascii="Palatino Linotype" w:eastAsia="Calibri" w:hAnsi="Palatino Linotype" w:cs="Arial"/>
          <w:i/>
          <w:sz w:val="24"/>
          <w:szCs w:val="24"/>
        </w:rPr>
        <w:t>ic)</w:t>
      </w:r>
    </w:p>
    <w:p w:rsidR="001533C0" w:rsidRPr="003C539F" w:rsidRDefault="001533C0" w:rsidP="001533C0">
      <w:pPr>
        <w:spacing w:after="0" w:line="276" w:lineRule="auto"/>
        <w:ind w:left="567" w:right="567"/>
        <w:jc w:val="both"/>
        <w:rPr>
          <w:rFonts w:ascii="Palatino Linotype" w:eastAsia="Calibri" w:hAnsi="Palatino Linotype" w:cs="Arial"/>
          <w:i/>
        </w:rPr>
      </w:pPr>
    </w:p>
    <w:p w:rsidR="00403972" w:rsidRPr="003C539F" w:rsidRDefault="00403972" w:rsidP="001533C0">
      <w:pPr>
        <w:spacing w:after="0" w:line="276" w:lineRule="auto"/>
        <w:jc w:val="both"/>
        <w:rPr>
          <w:rFonts w:ascii="Palatino Linotype" w:hAnsi="Palatino Linotype" w:cs="Arial"/>
        </w:rPr>
      </w:pPr>
      <w:r w:rsidRPr="003C539F">
        <w:rPr>
          <w:rFonts w:ascii="Palatino Linotype" w:hAnsi="Palatino Linotype" w:cs="Arial"/>
        </w:rPr>
        <w:t xml:space="preserve">De las constancias que obran dentro del expediente electrónico del </w:t>
      </w:r>
      <w:r w:rsidR="000070E1">
        <w:rPr>
          <w:rFonts w:ascii="Palatino Linotype" w:hAnsi="Palatino Linotype" w:cs="Arial"/>
        </w:rPr>
        <w:t>Sistema de Acceso a la Información Mexiquense (</w:t>
      </w:r>
      <w:r w:rsidRPr="000070E1">
        <w:rPr>
          <w:rFonts w:ascii="Palatino Linotype" w:hAnsi="Palatino Linotype" w:cs="Arial"/>
        </w:rPr>
        <w:t>SAIMEX</w:t>
      </w:r>
      <w:r w:rsidR="000070E1">
        <w:rPr>
          <w:rFonts w:ascii="Palatino Linotype" w:hAnsi="Palatino Linotype" w:cs="Arial"/>
        </w:rPr>
        <w:t>)</w:t>
      </w:r>
      <w:r w:rsidRPr="000070E1">
        <w:rPr>
          <w:rFonts w:ascii="Palatino Linotype" w:hAnsi="Palatino Linotype" w:cs="Arial"/>
        </w:rPr>
        <w:t xml:space="preserve">, </w:t>
      </w:r>
      <w:r w:rsidRPr="003C539F">
        <w:rPr>
          <w:rFonts w:ascii="Palatino Linotype" w:hAnsi="Palatino Linotype" w:cs="Arial"/>
        </w:rPr>
        <w:t>se advirtió que</w:t>
      </w:r>
      <w:r w:rsidR="000070E1">
        <w:rPr>
          <w:rFonts w:ascii="Palatino Linotype" w:hAnsi="Palatino Linotype" w:cs="Arial"/>
        </w:rPr>
        <w:t xml:space="preserve"> el Sujeto Obligado,</w:t>
      </w:r>
      <w:r w:rsidRPr="003C539F">
        <w:rPr>
          <w:rFonts w:ascii="Palatino Linotype" w:hAnsi="Palatino Linotype" w:cs="Arial"/>
        </w:rPr>
        <w:t xml:space="preserve"> </w:t>
      </w:r>
      <w:r w:rsidR="001533C0" w:rsidRPr="003C539F">
        <w:rPr>
          <w:rFonts w:ascii="Palatino Linotype" w:hAnsi="Palatino Linotype" w:cs="Arial"/>
        </w:rPr>
        <w:t>solicitó</w:t>
      </w:r>
      <w:r w:rsidRPr="003C539F">
        <w:rPr>
          <w:rFonts w:ascii="Palatino Linotype" w:hAnsi="Palatino Linotype" w:cs="Arial"/>
        </w:rPr>
        <w:t xml:space="preserve"> una aclaración al </w:t>
      </w:r>
      <w:r w:rsidR="001533C0" w:rsidRPr="003C539F">
        <w:rPr>
          <w:rFonts w:ascii="Palatino Linotype" w:hAnsi="Palatino Linotype" w:cs="Arial"/>
        </w:rPr>
        <w:t>particular,</w:t>
      </w:r>
      <w:r w:rsidR="0054694C">
        <w:rPr>
          <w:rFonts w:ascii="Palatino Linotype" w:hAnsi="Palatino Linotype" w:cs="Arial"/>
        </w:rPr>
        <w:t xml:space="preserve"> quien no desahogó</w:t>
      </w:r>
      <w:r w:rsidRPr="003C539F">
        <w:rPr>
          <w:rFonts w:ascii="Palatino Linotype" w:hAnsi="Palatino Linotype" w:cs="Arial"/>
        </w:rPr>
        <w:t xml:space="preserve"> el requerimiento, por lo que en respuesta a la solicitud de acceso a la información el Sujeto Obligado </w:t>
      </w:r>
      <w:r w:rsidR="0054694C">
        <w:rPr>
          <w:rFonts w:ascii="Palatino Linotype" w:hAnsi="Palatino Linotype" w:cs="Arial"/>
        </w:rPr>
        <w:t>determinó</w:t>
      </w:r>
      <w:r w:rsidRPr="003C539F">
        <w:rPr>
          <w:rFonts w:ascii="Palatino Linotype" w:hAnsi="Palatino Linotype" w:cs="Arial"/>
        </w:rPr>
        <w:t xml:space="preserve"> archivar la solicitud y dejar a salvo los derechos del particular para volver a presentarla.</w:t>
      </w:r>
    </w:p>
    <w:p w:rsidR="00403972" w:rsidRPr="003C539F" w:rsidRDefault="00403972" w:rsidP="001533C0">
      <w:pPr>
        <w:spacing w:after="0" w:line="276" w:lineRule="auto"/>
        <w:jc w:val="both"/>
        <w:rPr>
          <w:rFonts w:ascii="Palatino Linotype" w:hAnsi="Palatino Linotype" w:cs="Arial"/>
        </w:rPr>
      </w:pPr>
    </w:p>
    <w:p w:rsidR="001533C0" w:rsidRPr="003C539F" w:rsidRDefault="00403972" w:rsidP="001533C0">
      <w:pPr>
        <w:spacing w:after="0" w:line="276" w:lineRule="auto"/>
        <w:jc w:val="both"/>
        <w:rPr>
          <w:rFonts w:ascii="Palatino Linotype" w:hAnsi="Palatino Linotype" w:cs="Arial"/>
        </w:rPr>
      </w:pPr>
      <w:r w:rsidRPr="003C539F">
        <w:rPr>
          <w:rFonts w:ascii="Palatino Linotype" w:hAnsi="Palatino Linotype" w:cs="Arial"/>
        </w:rPr>
        <w:t>Ante dicha respuesta,</w:t>
      </w:r>
      <w:r w:rsidR="0054694C">
        <w:rPr>
          <w:rFonts w:ascii="Palatino Linotype" w:hAnsi="Palatino Linotype" w:cs="Arial"/>
        </w:rPr>
        <w:t xml:space="preserve"> la Recurrente</w:t>
      </w:r>
      <w:r w:rsidRPr="003C539F">
        <w:rPr>
          <w:rFonts w:ascii="Palatino Linotype" w:hAnsi="Palatino Linotype" w:cs="Arial"/>
        </w:rPr>
        <w:t xml:space="preserve"> procedió a interponer el </w:t>
      </w:r>
      <w:r w:rsidR="0054694C">
        <w:rPr>
          <w:rFonts w:ascii="Palatino Linotype" w:hAnsi="Palatino Linotype" w:cs="Arial"/>
        </w:rPr>
        <w:t>R</w:t>
      </w:r>
      <w:r w:rsidRPr="003C539F">
        <w:rPr>
          <w:rFonts w:ascii="Palatino Linotype" w:hAnsi="Palatino Linotype" w:cs="Arial"/>
        </w:rPr>
        <w:t xml:space="preserve">ecurso de </w:t>
      </w:r>
      <w:r w:rsidR="0054694C">
        <w:rPr>
          <w:rFonts w:ascii="Palatino Linotype" w:hAnsi="Palatino Linotype" w:cs="Arial"/>
        </w:rPr>
        <w:t>R</w:t>
      </w:r>
      <w:r w:rsidRPr="003C539F">
        <w:rPr>
          <w:rFonts w:ascii="Palatino Linotype" w:hAnsi="Palatino Linotype" w:cs="Arial"/>
        </w:rPr>
        <w:t xml:space="preserve">evisión </w:t>
      </w:r>
      <w:r w:rsidR="0054694C">
        <w:rPr>
          <w:rFonts w:ascii="Palatino Linotype" w:hAnsi="Palatino Linotype" w:cs="Arial"/>
        </w:rPr>
        <w:t>que nos ocupa</w:t>
      </w:r>
      <w:r w:rsidRPr="003C539F">
        <w:rPr>
          <w:rFonts w:ascii="Palatino Linotype" w:hAnsi="Palatino Linotype" w:cs="Arial"/>
        </w:rPr>
        <w:t xml:space="preserve">, en el que toralmente se inconformó por la </w:t>
      </w:r>
      <w:r w:rsidR="00804CF9">
        <w:rPr>
          <w:rFonts w:ascii="Palatino Linotype" w:hAnsi="Palatino Linotype" w:cs="Arial"/>
        </w:rPr>
        <w:t>falta de</w:t>
      </w:r>
      <w:r w:rsidR="001533C0" w:rsidRPr="003C539F">
        <w:rPr>
          <w:rFonts w:ascii="Palatino Linotype" w:hAnsi="Palatino Linotype" w:cs="Arial"/>
        </w:rPr>
        <w:t xml:space="preserve"> </w:t>
      </w:r>
      <w:r w:rsidRPr="003C539F">
        <w:rPr>
          <w:rFonts w:ascii="Palatino Linotype" w:hAnsi="Palatino Linotype" w:cs="Arial"/>
        </w:rPr>
        <w:t>entrega de</w:t>
      </w:r>
      <w:r w:rsidR="001533C0" w:rsidRPr="003C539F">
        <w:rPr>
          <w:rFonts w:ascii="Palatino Linotype" w:hAnsi="Palatino Linotype" w:cs="Arial"/>
        </w:rPr>
        <w:t xml:space="preserve"> la información, </w:t>
      </w:r>
      <w:r w:rsidR="0054694C">
        <w:rPr>
          <w:rFonts w:ascii="Palatino Linotype" w:hAnsi="Palatino Linotype" w:cs="Arial"/>
        </w:rPr>
        <w:t xml:space="preserve">bajo el </w:t>
      </w:r>
      <w:r w:rsidR="001533C0" w:rsidRPr="003C539F">
        <w:rPr>
          <w:rFonts w:ascii="Palatino Linotype" w:hAnsi="Palatino Linotype" w:cs="Arial"/>
        </w:rPr>
        <w:t>argument</w:t>
      </w:r>
      <w:r w:rsidR="0054694C">
        <w:rPr>
          <w:rFonts w:ascii="Palatino Linotype" w:hAnsi="Palatino Linotype" w:cs="Arial"/>
        </w:rPr>
        <w:t>o de</w:t>
      </w:r>
      <w:r w:rsidR="001533C0" w:rsidRPr="003C539F">
        <w:rPr>
          <w:rFonts w:ascii="Palatino Linotype" w:hAnsi="Palatino Linotype" w:cs="Arial"/>
        </w:rPr>
        <w:t xml:space="preserve"> que su solicitud es muy clara</w:t>
      </w:r>
      <w:r w:rsidR="0054694C">
        <w:rPr>
          <w:rFonts w:ascii="Palatino Linotype" w:hAnsi="Palatino Linotype" w:cs="Arial"/>
        </w:rPr>
        <w:t xml:space="preserve">, </w:t>
      </w:r>
      <w:r w:rsidR="001533C0" w:rsidRPr="003C539F">
        <w:rPr>
          <w:rFonts w:ascii="Palatino Linotype" w:hAnsi="Palatino Linotype" w:cs="Arial"/>
        </w:rPr>
        <w:t xml:space="preserve"> ya que </w:t>
      </w:r>
      <w:r w:rsidR="00804CF9">
        <w:rPr>
          <w:rFonts w:ascii="Palatino Linotype" w:hAnsi="Palatino Linotype" w:cs="Arial"/>
        </w:rPr>
        <w:t>requirió</w:t>
      </w:r>
      <w:r w:rsidR="001533C0" w:rsidRPr="003C539F">
        <w:rPr>
          <w:rFonts w:ascii="Palatino Linotype" w:hAnsi="Palatino Linotype" w:cs="Arial"/>
        </w:rPr>
        <w:t xml:space="preserve"> información de todo el Organismo</w:t>
      </w:r>
      <w:r w:rsidR="0054694C">
        <w:rPr>
          <w:rFonts w:ascii="Palatino Linotype" w:hAnsi="Palatino Linotype" w:cs="Arial"/>
        </w:rPr>
        <w:t xml:space="preserve"> de</w:t>
      </w:r>
      <w:r w:rsidR="001533C0" w:rsidRPr="003C539F">
        <w:rPr>
          <w:rFonts w:ascii="Palatino Linotype" w:hAnsi="Palatino Linotype" w:cs="Arial"/>
        </w:rPr>
        <w:t xml:space="preserve"> Agua y Saneamiento</w:t>
      </w:r>
      <w:r w:rsidR="0054694C">
        <w:rPr>
          <w:rFonts w:ascii="Palatino Linotype" w:hAnsi="Palatino Linotype" w:cs="Arial"/>
        </w:rPr>
        <w:t xml:space="preserve"> de Toluca</w:t>
      </w:r>
      <w:r w:rsidR="001533C0" w:rsidRPr="003C539F">
        <w:rPr>
          <w:rFonts w:ascii="Palatino Linotype" w:hAnsi="Palatino Linotype" w:cs="Arial"/>
        </w:rPr>
        <w:t>.</w:t>
      </w:r>
    </w:p>
    <w:p w:rsidR="001533C0" w:rsidRPr="003C539F" w:rsidRDefault="001533C0" w:rsidP="001533C0">
      <w:pPr>
        <w:spacing w:after="0" w:line="276" w:lineRule="auto"/>
        <w:jc w:val="both"/>
        <w:rPr>
          <w:rFonts w:ascii="Palatino Linotype" w:hAnsi="Palatino Linotype" w:cs="Arial"/>
        </w:rPr>
      </w:pPr>
    </w:p>
    <w:p w:rsidR="00403972" w:rsidRPr="003C539F" w:rsidRDefault="00403972" w:rsidP="001533C0">
      <w:pPr>
        <w:spacing w:after="0" w:line="276" w:lineRule="auto"/>
        <w:jc w:val="both"/>
        <w:rPr>
          <w:rFonts w:ascii="Palatino Linotype" w:hAnsi="Palatino Linotype" w:cs="Arial"/>
        </w:rPr>
      </w:pPr>
      <w:r w:rsidRPr="003C539F">
        <w:rPr>
          <w:rFonts w:ascii="Palatino Linotype" w:hAnsi="Palatino Linotype" w:cs="Arial"/>
        </w:rPr>
        <w:t>Atento a lo anterior, la Ponencia Resolutora determinó</w:t>
      </w:r>
      <w:r w:rsidR="00804CF9">
        <w:rPr>
          <w:rFonts w:ascii="Palatino Linotype" w:hAnsi="Palatino Linotype" w:cs="Arial"/>
        </w:rPr>
        <w:t xml:space="preserve"> revocar </w:t>
      </w:r>
      <w:r w:rsidRPr="003C539F">
        <w:rPr>
          <w:rFonts w:ascii="Palatino Linotype" w:hAnsi="Palatino Linotype" w:cs="Arial"/>
        </w:rPr>
        <w:t>la respuesta del</w:t>
      </w:r>
      <w:r w:rsidR="00804CF9">
        <w:rPr>
          <w:rFonts w:ascii="Palatino Linotype" w:hAnsi="Palatino Linotype" w:cs="Arial"/>
        </w:rPr>
        <w:t xml:space="preserve"> Sujeto Obligado</w:t>
      </w:r>
      <w:r w:rsidRPr="003C539F">
        <w:rPr>
          <w:rFonts w:ascii="Palatino Linotype" w:hAnsi="Palatino Linotype" w:cs="Arial"/>
        </w:rPr>
        <w:t xml:space="preserve"> </w:t>
      </w:r>
      <w:r w:rsidR="00804CF9" w:rsidRPr="00804CF9">
        <w:rPr>
          <w:rFonts w:ascii="Palatino Linotype" w:hAnsi="Palatino Linotype" w:cs="Arial"/>
        </w:rPr>
        <w:t xml:space="preserve">y </w:t>
      </w:r>
      <w:r w:rsidRPr="00804CF9">
        <w:rPr>
          <w:rFonts w:ascii="Palatino Linotype" w:hAnsi="Palatino Linotype" w:cs="Arial"/>
        </w:rPr>
        <w:t>orden</w:t>
      </w:r>
      <w:r w:rsidR="00804CF9" w:rsidRPr="00804CF9">
        <w:rPr>
          <w:rFonts w:ascii="Palatino Linotype" w:hAnsi="Palatino Linotype" w:cs="Arial"/>
        </w:rPr>
        <w:t>ar</w:t>
      </w:r>
      <w:r w:rsidRPr="00804CF9">
        <w:rPr>
          <w:rFonts w:ascii="Palatino Linotype" w:hAnsi="Palatino Linotype" w:cs="Arial"/>
        </w:rPr>
        <w:t>le</w:t>
      </w:r>
      <w:r w:rsidRPr="003C539F">
        <w:rPr>
          <w:rFonts w:ascii="Palatino Linotype" w:hAnsi="Palatino Linotype" w:cs="Arial"/>
          <w:b/>
        </w:rPr>
        <w:t xml:space="preserve"> </w:t>
      </w:r>
      <w:r w:rsidRPr="003C539F">
        <w:rPr>
          <w:rFonts w:ascii="Palatino Linotype" w:hAnsi="Palatino Linotype" w:cs="Arial"/>
        </w:rPr>
        <w:t>hacer entrega</w:t>
      </w:r>
      <w:r w:rsidR="001533C0" w:rsidRPr="003C539F">
        <w:rPr>
          <w:rFonts w:ascii="Palatino Linotype" w:hAnsi="Palatino Linotype" w:cs="Arial"/>
        </w:rPr>
        <w:t xml:space="preserve"> vía</w:t>
      </w:r>
      <w:r w:rsidR="00804CF9">
        <w:rPr>
          <w:rFonts w:ascii="Palatino Linotype" w:hAnsi="Palatino Linotype" w:cs="Arial"/>
        </w:rPr>
        <w:t xml:space="preserve"> el Sistema de Acceso a la Información Mexiquense</w:t>
      </w:r>
      <w:r w:rsidR="001533C0" w:rsidRPr="003C539F">
        <w:rPr>
          <w:rFonts w:ascii="Palatino Linotype" w:hAnsi="Palatino Linotype" w:cs="Arial"/>
        </w:rPr>
        <w:t xml:space="preserve"> </w:t>
      </w:r>
      <w:r w:rsidR="00804CF9">
        <w:rPr>
          <w:rFonts w:ascii="Palatino Linotype" w:hAnsi="Palatino Linotype" w:cs="Arial"/>
        </w:rPr>
        <w:t>(</w:t>
      </w:r>
      <w:r w:rsidR="001533C0" w:rsidRPr="003C539F">
        <w:rPr>
          <w:rFonts w:ascii="Palatino Linotype" w:hAnsi="Palatino Linotype" w:cs="Arial"/>
        </w:rPr>
        <w:t>SAIMEX</w:t>
      </w:r>
      <w:r w:rsidR="00804CF9">
        <w:rPr>
          <w:rFonts w:ascii="Palatino Linotype" w:hAnsi="Palatino Linotype" w:cs="Arial"/>
        </w:rPr>
        <w:t>)</w:t>
      </w:r>
      <w:r w:rsidR="001533C0" w:rsidRPr="003C539F">
        <w:rPr>
          <w:rFonts w:ascii="Palatino Linotype" w:hAnsi="Palatino Linotype" w:cs="Arial"/>
        </w:rPr>
        <w:t>, previa búsqueda exhaustiva y razonable</w:t>
      </w:r>
      <w:r w:rsidR="001533C0" w:rsidRPr="003C539F">
        <w:rPr>
          <w:rFonts w:ascii="Palatino Linotype" w:hAnsi="Palatino Linotype" w:cs="Arial"/>
          <w:b/>
        </w:rPr>
        <w:t xml:space="preserve">, </w:t>
      </w:r>
      <w:r w:rsidRPr="003C539F">
        <w:rPr>
          <w:rFonts w:ascii="Palatino Linotype" w:hAnsi="Palatino Linotype" w:cs="Arial"/>
        </w:rPr>
        <w:t>en versión pública de:</w:t>
      </w:r>
    </w:p>
    <w:p w:rsidR="00403972" w:rsidRPr="003C539F" w:rsidRDefault="00403972" w:rsidP="001533C0">
      <w:pPr>
        <w:spacing w:after="0" w:line="276" w:lineRule="auto"/>
        <w:jc w:val="both"/>
        <w:rPr>
          <w:rFonts w:ascii="Palatino Linotype" w:hAnsi="Palatino Linotype" w:cs="Arial"/>
        </w:rPr>
      </w:pPr>
    </w:p>
    <w:p w:rsidR="001533C0" w:rsidRPr="00804CF9" w:rsidRDefault="001533C0" w:rsidP="00804CF9">
      <w:pPr>
        <w:pStyle w:val="Prrafodelista"/>
        <w:numPr>
          <w:ilvl w:val="0"/>
          <w:numId w:val="7"/>
        </w:numPr>
        <w:autoSpaceDE w:val="0"/>
        <w:autoSpaceDN w:val="0"/>
        <w:adjustRightInd w:val="0"/>
        <w:spacing w:before="240" w:after="240" w:line="276" w:lineRule="auto"/>
        <w:ind w:left="1134" w:right="567"/>
        <w:contextualSpacing w:val="0"/>
        <w:jc w:val="both"/>
        <w:rPr>
          <w:rFonts w:ascii="Palatino Linotype" w:hAnsi="Palatino Linotype" w:cs="Arial"/>
          <w:sz w:val="20"/>
          <w:szCs w:val="20"/>
        </w:rPr>
      </w:pPr>
      <w:r w:rsidRPr="00804CF9">
        <w:rPr>
          <w:rFonts w:ascii="Palatino Linotype" w:hAnsi="Palatino Linotype" w:cs="Arial"/>
          <w:sz w:val="20"/>
          <w:szCs w:val="20"/>
        </w:rPr>
        <w:t xml:space="preserve">Del </w:t>
      </w:r>
      <w:r w:rsidRPr="00804CF9">
        <w:rPr>
          <w:rFonts w:ascii="Palatino Linotype" w:hAnsi="Palatino Linotype"/>
          <w:color w:val="000000"/>
          <w:sz w:val="20"/>
          <w:szCs w:val="20"/>
        </w:rPr>
        <w:t>primero de enero de dos mil diecisiete al primero de octubre de dos mil dieciocho.</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hanging="357"/>
        <w:contextualSpacing w:val="0"/>
        <w:jc w:val="both"/>
        <w:rPr>
          <w:rFonts w:ascii="Palatino Linotype" w:hAnsi="Palatino Linotype"/>
          <w:color w:val="000000"/>
          <w:sz w:val="20"/>
          <w:szCs w:val="20"/>
        </w:rPr>
      </w:pPr>
      <w:r w:rsidRPr="00804CF9">
        <w:rPr>
          <w:rFonts w:ascii="Palatino Linotype" w:hAnsi="Palatino Linotype"/>
          <w:color w:val="000000"/>
          <w:sz w:val="20"/>
          <w:szCs w:val="20"/>
        </w:rPr>
        <w:t>Altas y bajas del personal.</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hanging="357"/>
        <w:contextualSpacing w:val="0"/>
        <w:jc w:val="both"/>
        <w:rPr>
          <w:rFonts w:ascii="Palatino Linotype" w:hAnsi="Palatino Linotype"/>
          <w:color w:val="000000"/>
          <w:sz w:val="20"/>
          <w:szCs w:val="20"/>
        </w:rPr>
      </w:pPr>
      <w:r w:rsidRPr="00804CF9">
        <w:rPr>
          <w:rFonts w:ascii="Palatino Linotype" w:hAnsi="Palatino Linotype" w:cs="Arial"/>
          <w:sz w:val="20"/>
          <w:szCs w:val="20"/>
        </w:rPr>
        <w:t>Documentos probatorios de las actividades que realizaron los servidores públicos dados de alta y baja.</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hanging="357"/>
        <w:contextualSpacing w:val="0"/>
        <w:jc w:val="both"/>
        <w:rPr>
          <w:rFonts w:ascii="Palatino Linotype" w:hAnsi="Palatino Linotype"/>
          <w:color w:val="000000"/>
          <w:sz w:val="20"/>
          <w:szCs w:val="20"/>
        </w:rPr>
      </w:pPr>
      <w:r w:rsidRPr="00804CF9">
        <w:rPr>
          <w:rFonts w:ascii="Palatino Linotype" w:eastAsiaTheme="minorEastAsia" w:hAnsi="Palatino Linotype" w:cs="Bookman Old Style"/>
          <w:sz w:val="20"/>
          <w:szCs w:val="20"/>
          <w:lang w:val="es-MX"/>
        </w:rPr>
        <w:t xml:space="preserve">Currículum vitae de todo el personal dado de alta, </w:t>
      </w:r>
      <w:r w:rsidRPr="00804CF9">
        <w:rPr>
          <w:rFonts w:ascii="Palatino Linotype" w:eastAsia="Calibri" w:hAnsi="Palatino Linotype" w:cs="Arial"/>
          <w:sz w:val="20"/>
          <w:szCs w:val="20"/>
        </w:rPr>
        <w:t>preferentemente en formato abierto, caso contrario, en el formato en que se genere, posea o administre.</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eastAsiaTheme="minorEastAsia" w:hAnsi="Palatino Linotype" w:cs="Bookman Old Style"/>
          <w:sz w:val="20"/>
          <w:szCs w:val="20"/>
          <w:lang w:val="es-MX"/>
        </w:rPr>
        <w:t>Documento o documentos probatorios de escolaridad del personal dado de alta.</w:t>
      </w:r>
    </w:p>
    <w:p w:rsidR="001533C0" w:rsidRPr="00804CF9" w:rsidRDefault="001533C0" w:rsidP="00804CF9">
      <w:pPr>
        <w:pStyle w:val="Prrafodelista"/>
        <w:numPr>
          <w:ilvl w:val="0"/>
          <w:numId w:val="8"/>
        </w:numPr>
        <w:autoSpaceDE w:val="0"/>
        <w:autoSpaceDN w:val="0"/>
        <w:adjustRightInd w:val="0"/>
        <w:spacing w:before="240" w:after="240" w:line="276" w:lineRule="auto"/>
        <w:ind w:left="1134" w:right="567"/>
        <w:contextualSpacing w:val="0"/>
        <w:jc w:val="both"/>
        <w:rPr>
          <w:rFonts w:ascii="Palatino Linotype" w:hAnsi="Palatino Linotype"/>
          <w:color w:val="000000"/>
          <w:sz w:val="20"/>
          <w:szCs w:val="20"/>
        </w:rPr>
      </w:pPr>
      <w:r w:rsidRPr="00804CF9">
        <w:rPr>
          <w:rFonts w:ascii="Palatino Linotype" w:hAnsi="Palatino Linotype"/>
          <w:color w:val="000000"/>
          <w:sz w:val="20"/>
          <w:szCs w:val="20"/>
        </w:rPr>
        <w:lastRenderedPageBreak/>
        <w:t>Del primero de enero de dos mil dieciséis al primero de octubre de dos mil dieciocho.</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hAnsi="Palatino Linotype"/>
          <w:color w:val="000000"/>
          <w:sz w:val="20"/>
          <w:szCs w:val="20"/>
        </w:rPr>
        <w:t xml:space="preserve">Documento o documentos en donde conste el adeudo total. </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hAnsi="Palatino Linotype"/>
          <w:color w:val="000000"/>
          <w:sz w:val="20"/>
          <w:szCs w:val="20"/>
        </w:rPr>
        <w:t>Documento o documentos que contengan los adeudos por concepto de laudos y resoluciones emitidas por demandas interpuestas por proveedores.</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eastAsiaTheme="minorEastAsia" w:hAnsi="Palatino Linotype" w:cs="Arial"/>
          <w:sz w:val="20"/>
          <w:szCs w:val="20"/>
          <w:lang w:val="es-MX"/>
        </w:rPr>
        <w:t xml:space="preserve">Soporte documental en el que conste el número de laudos y demandas de proveedores interpuestas en contra del Sujeto Obligado. </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eastAsiaTheme="minorEastAsia" w:hAnsi="Palatino Linotype" w:cs="Bookman Old Style"/>
          <w:sz w:val="20"/>
          <w:szCs w:val="20"/>
          <w:lang w:val="es-MX"/>
        </w:rPr>
        <w:t xml:space="preserve">Soporte documental del que se advierte el nombre del </w:t>
      </w:r>
      <w:r w:rsidRPr="00804CF9">
        <w:rPr>
          <w:rFonts w:ascii="Palatino Linotype" w:eastAsiaTheme="minorEastAsia" w:hAnsi="Palatino Linotype" w:cs="Arial"/>
          <w:sz w:val="20"/>
          <w:szCs w:val="20"/>
          <w:lang w:val="es-MX"/>
        </w:rPr>
        <w:t>personal que se encuentra comisionado a otra área, en el que se establezca preferentemente el inicio y término de la comisión.</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hAnsi="Palatino Linotype" w:cs="Arial"/>
          <w:sz w:val="20"/>
          <w:szCs w:val="20"/>
          <w:lang w:eastAsia="es-MX"/>
        </w:rPr>
        <w:t>Expresión documental que contenga de los servidores públicos de base y confianza, nombre, cargo y Dirección de adscripción.</w:t>
      </w:r>
    </w:p>
    <w:p w:rsidR="001533C0" w:rsidRPr="00804CF9" w:rsidRDefault="001533C0" w:rsidP="00804CF9">
      <w:pPr>
        <w:pStyle w:val="Prrafodelista"/>
        <w:numPr>
          <w:ilvl w:val="0"/>
          <w:numId w:val="6"/>
        </w:numPr>
        <w:autoSpaceDE w:val="0"/>
        <w:autoSpaceDN w:val="0"/>
        <w:adjustRightInd w:val="0"/>
        <w:spacing w:before="240" w:after="240" w:line="276" w:lineRule="auto"/>
        <w:ind w:left="1134" w:right="567"/>
        <w:contextualSpacing w:val="0"/>
        <w:jc w:val="both"/>
        <w:rPr>
          <w:rFonts w:ascii="Palatino Linotype" w:eastAsiaTheme="minorEastAsia" w:hAnsi="Palatino Linotype" w:cs="Arial"/>
          <w:sz w:val="20"/>
          <w:szCs w:val="20"/>
          <w:lang w:val="es-MX"/>
        </w:rPr>
      </w:pPr>
      <w:r w:rsidRPr="00804CF9">
        <w:rPr>
          <w:rFonts w:ascii="Palatino Linotype" w:hAnsi="Palatino Linotype" w:cs="Arial"/>
          <w:sz w:val="20"/>
          <w:szCs w:val="20"/>
          <w:lang w:eastAsia="es-MX"/>
        </w:rPr>
        <w:t>Presupuestos asignado a cada Dirección del Organismo.</w:t>
      </w:r>
    </w:p>
    <w:p w:rsidR="001533C0" w:rsidRDefault="001533C0" w:rsidP="00804CF9">
      <w:pPr>
        <w:autoSpaceDE w:val="0"/>
        <w:autoSpaceDN w:val="0"/>
        <w:adjustRightInd w:val="0"/>
        <w:spacing w:before="120" w:after="120" w:line="276" w:lineRule="auto"/>
        <w:ind w:left="567" w:right="567"/>
        <w:jc w:val="both"/>
        <w:rPr>
          <w:rFonts w:ascii="Palatino Linotype" w:hAnsi="Palatino Linotype" w:cs="Arial"/>
          <w:i/>
          <w:sz w:val="20"/>
          <w:szCs w:val="20"/>
        </w:rPr>
      </w:pPr>
      <w:r w:rsidRPr="00D63B2A">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D63B2A">
        <w:rPr>
          <w:rFonts w:ascii="Palatino Linotype" w:hAnsi="Palatino Linotype" w:cs="Arial"/>
          <w:b/>
          <w:i/>
          <w:sz w:val="20"/>
          <w:szCs w:val="20"/>
        </w:rPr>
        <w:t>Recurrente</w:t>
      </w:r>
      <w:r w:rsidRPr="00D63B2A">
        <w:rPr>
          <w:rFonts w:ascii="Palatino Linotype" w:hAnsi="Palatino Linotype" w:cs="Arial"/>
          <w:i/>
          <w:sz w:val="20"/>
          <w:szCs w:val="20"/>
        </w:rPr>
        <w:t>.</w:t>
      </w:r>
    </w:p>
    <w:p w:rsidR="001533C0" w:rsidRPr="00403703" w:rsidRDefault="001533C0" w:rsidP="00804CF9">
      <w:pPr>
        <w:spacing w:before="120" w:after="120" w:line="276" w:lineRule="auto"/>
        <w:ind w:left="567" w:right="567"/>
        <w:jc w:val="both"/>
        <w:rPr>
          <w:rFonts w:ascii="Palatino Linotype" w:hAnsi="Palatino Linotype" w:cs="Arial"/>
          <w:i/>
          <w:sz w:val="20"/>
          <w:szCs w:val="20"/>
        </w:rPr>
      </w:pPr>
      <w:r>
        <w:rPr>
          <w:rFonts w:ascii="Palatino Linotype" w:hAnsi="Palatino Linotype" w:cs="Arial"/>
          <w:i/>
          <w:sz w:val="20"/>
          <w:szCs w:val="20"/>
        </w:rPr>
        <w:t>En</w:t>
      </w:r>
      <w:r w:rsidRPr="00403703">
        <w:rPr>
          <w:rFonts w:ascii="Palatino Linotype" w:hAnsi="Palatino Linotype" w:cs="Arial"/>
          <w:i/>
          <w:sz w:val="20"/>
          <w:szCs w:val="20"/>
        </w:rPr>
        <w:t xml:space="preserve"> el caso de no poseer la información</w:t>
      </w:r>
      <w:r>
        <w:rPr>
          <w:rFonts w:ascii="Palatino Linotype" w:hAnsi="Palatino Linotype" w:cs="Arial"/>
          <w:i/>
          <w:sz w:val="20"/>
          <w:szCs w:val="20"/>
        </w:rPr>
        <w:t xml:space="preserve"> ordenada en el numeral 4, 6 y 7</w:t>
      </w:r>
      <w:r w:rsidRPr="00403703">
        <w:rPr>
          <w:rFonts w:ascii="Palatino Linotype" w:hAnsi="Palatino Linotype" w:cs="Arial"/>
          <w:i/>
          <w:sz w:val="20"/>
          <w:szCs w:val="20"/>
        </w:rPr>
        <w:t>, bastará con el s</w:t>
      </w:r>
      <w:r>
        <w:rPr>
          <w:rFonts w:ascii="Palatino Linotype" w:hAnsi="Palatino Linotype" w:cs="Arial"/>
          <w:i/>
          <w:sz w:val="20"/>
          <w:szCs w:val="20"/>
        </w:rPr>
        <w:t>ó</w:t>
      </w:r>
      <w:r w:rsidRPr="00403703">
        <w:rPr>
          <w:rFonts w:ascii="Palatino Linotype" w:hAnsi="Palatino Linotype" w:cs="Arial"/>
          <w:i/>
          <w:sz w:val="20"/>
          <w:szCs w:val="20"/>
        </w:rPr>
        <w:t xml:space="preserve">lo pronunciamiento por parte del </w:t>
      </w:r>
      <w:r w:rsidRPr="00403703">
        <w:rPr>
          <w:rFonts w:ascii="Palatino Linotype" w:hAnsi="Palatino Linotype" w:cs="Arial"/>
          <w:b/>
          <w:i/>
          <w:sz w:val="20"/>
          <w:szCs w:val="20"/>
        </w:rPr>
        <w:t>Sujeto Obligado</w:t>
      </w:r>
      <w:r>
        <w:rPr>
          <w:rFonts w:ascii="Palatino Linotype" w:hAnsi="Palatino Linotype" w:cs="Arial"/>
          <w:i/>
          <w:sz w:val="20"/>
          <w:szCs w:val="20"/>
        </w:rPr>
        <w:t xml:space="preserve"> de no tenerla, para tener por colmado el requerimiento de información.</w:t>
      </w:r>
    </w:p>
    <w:p w:rsidR="00403972" w:rsidRPr="00403972" w:rsidRDefault="00403972" w:rsidP="001533C0">
      <w:pPr>
        <w:spacing w:after="0" w:line="276" w:lineRule="auto"/>
        <w:jc w:val="both"/>
        <w:rPr>
          <w:rFonts w:ascii="Palatino Linotype" w:hAnsi="Palatino Linotype" w:cs="Arial"/>
          <w:sz w:val="24"/>
          <w:szCs w:val="24"/>
        </w:rPr>
      </w:pPr>
    </w:p>
    <w:p w:rsidR="00403972" w:rsidRPr="00804CF9" w:rsidRDefault="001533C0" w:rsidP="001533C0">
      <w:pPr>
        <w:spacing w:after="0" w:line="276" w:lineRule="auto"/>
        <w:jc w:val="both"/>
        <w:rPr>
          <w:rFonts w:ascii="Palatino Linotype" w:hAnsi="Palatino Linotype" w:cs="Arial"/>
          <w:lang w:val="es-MX"/>
        </w:rPr>
      </w:pPr>
      <w:r w:rsidRPr="00804CF9">
        <w:rPr>
          <w:rFonts w:ascii="Palatino Linotype" w:hAnsi="Palatino Linotype" w:cs="Arial"/>
          <w:lang w:val="es-MX"/>
        </w:rPr>
        <w:t xml:space="preserve">Al respecto, el suscrito </w:t>
      </w:r>
      <w:r w:rsidR="00403972" w:rsidRPr="00804CF9">
        <w:rPr>
          <w:rFonts w:ascii="Palatino Linotype" w:hAnsi="Palatino Linotype" w:cs="Arial"/>
          <w:lang w:val="es-MX"/>
        </w:rPr>
        <w:t xml:space="preserve">coincide en términos generales con el sentido de la </w:t>
      </w:r>
      <w:r w:rsidR="00804CF9" w:rsidRPr="00804CF9">
        <w:rPr>
          <w:rFonts w:ascii="Palatino Linotype" w:hAnsi="Palatino Linotype" w:cs="Arial"/>
          <w:lang w:val="es-MX"/>
        </w:rPr>
        <w:t>R</w:t>
      </w:r>
      <w:r w:rsidR="00403972" w:rsidRPr="00804CF9">
        <w:rPr>
          <w:rFonts w:ascii="Palatino Linotype" w:hAnsi="Palatino Linotype" w:cs="Arial"/>
          <w:lang w:val="es-MX"/>
        </w:rPr>
        <w:t xml:space="preserve">esolución </w:t>
      </w:r>
      <w:r w:rsidR="00804CF9" w:rsidRPr="00804CF9">
        <w:rPr>
          <w:rFonts w:ascii="Palatino Linotype" w:hAnsi="Palatino Linotype" w:cs="Arial"/>
          <w:lang w:val="es-MX"/>
        </w:rPr>
        <w:t xml:space="preserve">que nos ocupa; </w:t>
      </w:r>
      <w:r w:rsidRPr="00804CF9">
        <w:rPr>
          <w:rFonts w:ascii="Palatino Linotype" w:hAnsi="Palatino Linotype" w:cs="Arial"/>
          <w:lang w:val="es-MX"/>
        </w:rPr>
        <w:t xml:space="preserve">sin embargo, </w:t>
      </w:r>
      <w:r w:rsidR="00403972" w:rsidRPr="00804CF9">
        <w:rPr>
          <w:rFonts w:ascii="Palatino Linotype" w:hAnsi="Palatino Linotype" w:cs="Arial"/>
          <w:lang w:val="es-MX"/>
        </w:rPr>
        <w:t>estim</w:t>
      </w:r>
      <w:r w:rsidRPr="00804CF9">
        <w:rPr>
          <w:rFonts w:ascii="Palatino Linotype" w:hAnsi="Palatino Linotype" w:cs="Arial"/>
          <w:lang w:val="es-MX"/>
        </w:rPr>
        <w:t>a</w:t>
      </w:r>
      <w:r w:rsidR="00403972" w:rsidRPr="00804CF9">
        <w:rPr>
          <w:rFonts w:ascii="Palatino Linotype" w:hAnsi="Palatino Linotype" w:cs="Arial"/>
          <w:lang w:val="es-MX"/>
        </w:rPr>
        <w:t xml:space="preserve"> necesario precisar que </w:t>
      </w:r>
      <w:r w:rsidR="00804CF9" w:rsidRPr="00804CF9">
        <w:rPr>
          <w:rFonts w:ascii="Palatino Linotype" w:hAnsi="Palatino Linotype" w:cs="Arial"/>
          <w:lang w:val="es-MX"/>
        </w:rPr>
        <w:t xml:space="preserve">no coincido </w:t>
      </w:r>
      <w:r w:rsidR="00403972" w:rsidRPr="00804CF9">
        <w:rPr>
          <w:rFonts w:ascii="Palatino Linotype" w:hAnsi="Palatino Linotype" w:cs="Arial"/>
          <w:lang w:val="es-MX"/>
        </w:rPr>
        <w:t xml:space="preserve">en </w:t>
      </w:r>
      <w:r w:rsidR="00804CF9" w:rsidRPr="00804CF9">
        <w:rPr>
          <w:rFonts w:ascii="Palatino Linotype" w:hAnsi="Palatino Linotype" w:cs="Arial"/>
          <w:lang w:val="es-MX"/>
        </w:rPr>
        <w:t>la instrucción</w:t>
      </w:r>
      <w:r w:rsidR="00403972" w:rsidRPr="00804CF9">
        <w:rPr>
          <w:rFonts w:ascii="Palatino Linotype" w:hAnsi="Palatino Linotype" w:cs="Arial"/>
          <w:lang w:val="es-MX"/>
        </w:rPr>
        <w:t xml:space="preserve"> de la Ponencia Resolutora</w:t>
      </w:r>
      <w:r w:rsidR="00804CF9" w:rsidRPr="00804CF9">
        <w:rPr>
          <w:rFonts w:ascii="Palatino Linotype" w:hAnsi="Palatino Linotype" w:cs="Arial"/>
          <w:lang w:val="es-MX"/>
        </w:rPr>
        <w:t>, en el sentido de testar</w:t>
      </w:r>
      <w:r w:rsidR="00403972" w:rsidRPr="00804CF9">
        <w:rPr>
          <w:rFonts w:ascii="Palatino Linotype" w:hAnsi="Palatino Linotype" w:cs="Arial"/>
          <w:lang w:val="es-MX"/>
        </w:rPr>
        <w:t xml:space="preserve"> la </w:t>
      </w:r>
      <w:r w:rsidR="00804CF9" w:rsidRPr="00804CF9">
        <w:rPr>
          <w:rFonts w:ascii="Palatino Linotype" w:hAnsi="Palatino Linotype" w:cs="Arial"/>
          <w:lang w:val="es-MX"/>
        </w:rPr>
        <w:t xml:space="preserve">fotografía en las </w:t>
      </w:r>
      <w:r w:rsidR="00403972" w:rsidRPr="00804CF9">
        <w:rPr>
          <w:rFonts w:ascii="Palatino Linotype" w:hAnsi="Palatino Linotype" w:cs="Arial"/>
          <w:lang w:val="es-MX"/>
        </w:rPr>
        <w:t>versi</w:t>
      </w:r>
      <w:r w:rsidR="00804CF9" w:rsidRPr="00804CF9">
        <w:rPr>
          <w:rFonts w:ascii="Palatino Linotype" w:hAnsi="Palatino Linotype" w:cs="Arial"/>
          <w:lang w:val="es-MX"/>
        </w:rPr>
        <w:t>ones</w:t>
      </w:r>
      <w:r w:rsidR="00403972" w:rsidRPr="00804CF9">
        <w:rPr>
          <w:rFonts w:ascii="Palatino Linotype" w:hAnsi="Palatino Linotype" w:cs="Arial"/>
          <w:lang w:val="es-MX"/>
        </w:rPr>
        <w:t xml:space="preserve"> pública</w:t>
      </w:r>
      <w:r w:rsidR="00804CF9" w:rsidRPr="00804CF9">
        <w:rPr>
          <w:rFonts w:ascii="Palatino Linotype" w:hAnsi="Palatino Linotype" w:cs="Arial"/>
          <w:lang w:val="es-MX"/>
        </w:rPr>
        <w:t>s</w:t>
      </w:r>
      <w:r w:rsidR="00403972" w:rsidRPr="00804CF9">
        <w:rPr>
          <w:rFonts w:ascii="Palatino Linotype" w:hAnsi="Palatino Linotype" w:cs="Arial"/>
          <w:lang w:val="es-MX"/>
        </w:rPr>
        <w:t xml:space="preserve"> que realice</w:t>
      </w:r>
      <w:r w:rsidR="00804CF9" w:rsidRPr="00804CF9">
        <w:rPr>
          <w:rFonts w:ascii="Palatino Linotype" w:hAnsi="Palatino Linotype" w:cs="Arial"/>
          <w:lang w:val="es-MX"/>
        </w:rPr>
        <w:t xml:space="preserve"> el Sujeto Obligado, </w:t>
      </w:r>
      <w:r w:rsidR="00403972" w:rsidRPr="00804CF9">
        <w:rPr>
          <w:rFonts w:ascii="Palatino Linotype" w:hAnsi="Palatino Linotype" w:cs="Arial"/>
          <w:lang w:val="es-MX"/>
        </w:rPr>
        <w:t xml:space="preserve">respecto de los documentos </w:t>
      </w:r>
      <w:r w:rsidR="00E15FAE" w:rsidRPr="00804CF9">
        <w:rPr>
          <w:rFonts w:ascii="Palatino Linotype" w:hAnsi="Palatino Linotype" w:cs="Arial"/>
          <w:lang w:val="es-MX"/>
        </w:rPr>
        <w:t>probatorios de la escolaridad</w:t>
      </w:r>
      <w:r w:rsidR="00403972" w:rsidRPr="00804CF9">
        <w:rPr>
          <w:rFonts w:ascii="Palatino Linotype" w:hAnsi="Palatino Linotype" w:cs="Arial"/>
          <w:lang w:val="es-MX"/>
        </w:rPr>
        <w:t xml:space="preserve"> de los servidores públicos</w:t>
      </w:r>
      <w:r w:rsidR="00E15FAE" w:rsidRPr="00804CF9">
        <w:rPr>
          <w:rFonts w:ascii="Palatino Linotype" w:hAnsi="Palatino Linotype" w:cs="Arial"/>
          <w:lang w:val="es-MX"/>
        </w:rPr>
        <w:t xml:space="preserve"> dados de alta en el periodo requerido</w:t>
      </w:r>
      <w:r w:rsidR="00804CF9" w:rsidRPr="00804CF9">
        <w:rPr>
          <w:rFonts w:ascii="Palatino Linotype" w:hAnsi="Palatino Linotype" w:cs="Arial"/>
          <w:lang w:val="es-MX"/>
        </w:rPr>
        <w:t>.</w:t>
      </w:r>
      <w:r w:rsidR="00403972" w:rsidRPr="00804CF9">
        <w:rPr>
          <w:rFonts w:ascii="Palatino Linotype" w:hAnsi="Palatino Linotype" w:cs="Arial"/>
          <w:lang w:val="es-MX"/>
        </w:rPr>
        <w:t xml:space="preserve"> </w:t>
      </w:r>
      <w:r w:rsidR="00804CF9" w:rsidRPr="00804CF9">
        <w:rPr>
          <w:rFonts w:ascii="Palatino Linotype" w:hAnsi="Palatino Linotype" w:cs="Arial"/>
          <w:lang w:val="es-MX"/>
        </w:rPr>
        <w:t xml:space="preserve">En efecto, de acuerdo a lo establecido en la Resolución, </w:t>
      </w:r>
      <w:r w:rsidR="00403972" w:rsidRPr="00804CF9">
        <w:rPr>
          <w:rFonts w:ascii="Palatino Linotype" w:hAnsi="Palatino Linotype" w:cs="Arial"/>
          <w:lang w:val="es-MX"/>
        </w:rPr>
        <w:t>las fotografías constituyen datos personales confidenciales en términos</w:t>
      </w:r>
      <w:r w:rsidR="00E15FAE" w:rsidRPr="00804CF9">
        <w:rPr>
          <w:rFonts w:ascii="Palatino Linotype" w:hAnsi="Palatino Linotype" w:cs="Arial"/>
          <w:lang w:val="es-MX"/>
        </w:rPr>
        <w:t xml:space="preserve"> del</w:t>
      </w:r>
      <w:r w:rsidR="00403972" w:rsidRPr="00804CF9">
        <w:rPr>
          <w:rFonts w:ascii="Palatino Linotype" w:hAnsi="Palatino Linotype" w:cs="Arial"/>
          <w:lang w:val="es-MX"/>
        </w:rPr>
        <w:t xml:space="preserve"> </w:t>
      </w:r>
      <w:r w:rsidR="00E15FAE" w:rsidRPr="00804CF9">
        <w:rPr>
          <w:rFonts w:ascii="Palatino Linotype" w:hAnsi="Palatino Linotype" w:cs="Arial"/>
          <w:lang w:eastAsia="es-MX"/>
        </w:rPr>
        <w:t xml:space="preserve">artículo 143, fracción I, de la </w:t>
      </w:r>
      <w:r w:rsidR="00403972" w:rsidRPr="00804CF9">
        <w:rPr>
          <w:rFonts w:ascii="Palatino Linotype" w:hAnsi="Palatino Linotype" w:cs="Arial"/>
          <w:lang w:val="es-MX"/>
        </w:rPr>
        <w:t xml:space="preserve">Ley de Transparencia y Acceso a la Información Pública del Estado de México y Municipios; aunado a que la divulgación de la misma no </w:t>
      </w:r>
      <w:r w:rsidR="00403972" w:rsidRPr="00804CF9">
        <w:rPr>
          <w:rFonts w:ascii="Palatino Linotype" w:hAnsi="Palatino Linotype" w:cs="Arial"/>
          <w:lang w:val="es-MX"/>
        </w:rPr>
        <w:lastRenderedPageBreak/>
        <w:t>constituye</w:t>
      </w:r>
      <w:r w:rsidR="00E15FAE" w:rsidRPr="00804CF9">
        <w:rPr>
          <w:rFonts w:ascii="Palatino Linotype" w:hAnsi="Palatino Linotype" w:cs="Arial"/>
          <w:lang w:val="es-MX"/>
        </w:rPr>
        <w:t xml:space="preserve"> u</w:t>
      </w:r>
      <w:r w:rsidR="00403972" w:rsidRPr="00804CF9">
        <w:rPr>
          <w:rFonts w:ascii="Palatino Linotype" w:hAnsi="Palatino Linotype" w:cs="Arial"/>
          <w:lang w:val="es-MX"/>
        </w:rPr>
        <w:t xml:space="preserve">n elemento </w:t>
      </w:r>
      <w:r w:rsidR="00E15FAE" w:rsidRPr="00804CF9">
        <w:rPr>
          <w:rFonts w:ascii="Palatino Linotype" w:hAnsi="Palatino Linotype" w:cs="Arial"/>
          <w:lang w:eastAsia="es-MX"/>
        </w:rPr>
        <w:t>que permita reflejar el desempeño, idoneidad para ocupar un cargo, entre otros, que justifique su publicidad</w:t>
      </w:r>
      <w:r w:rsidR="00403972" w:rsidRPr="00804CF9">
        <w:rPr>
          <w:rFonts w:ascii="Palatino Linotype" w:hAnsi="Palatino Linotype" w:cs="Arial"/>
          <w:lang w:val="es-MX"/>
        </w:rPr>
        <w:t>.</w:t>
      </w:r>
    </w:p>
    <w:p w:rsidR="00403972" w:rsidRPr="00403972" w:rsidRDefault="00403972" w:rsidP="001533C0">
      <w:pPr>
        <w:spacing w:after="0" w:line="276" w:lineRule="auto"/>
        <w:jc w:val="both"/>
        <w:rPr>
          <w:rFonts w:ascii="Palatino Linotype" w:hAnsi="Palatino Linotype" w:cs="Arial"/>
          <w:sz w:val="24"/>
          <w:szCs w:val="24"/>
          <w:lang w:val="es-MX"/>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lang w:val="es-MX"/>
        </w:rPr>
        <w:t xml:space="preserve">Sin embargo, no se comparte el pronunciamiento citado, ya que </w:t>
      </w:r>
      <w:r w:rsidR="00E15FAE" w:rsidRPr="00804CF9">
        <w:rPr>
          <w:rFonts w:ascii="Palatino Linotype" w:hAnsi="Palatino Linotype" w:cs="Arial"/>
          <w:lang w:val="es-MX"/>
        </w:rPr>
        <w:t>es menester realizar</w:t>
      </w:r>
      <w:r w:rsidRPr="00804CF9">
        <w:rPr>
          <w:rFonts w:ascii="Palatino Linotype" w:hAnsi="Palatino Linotype" w:cs="Arial"/>
        </w:rPr>
        <w:t xml:space="preserve"> consideraciones de hecho y de derecho referente a la fotografía de conformidad con los preceptos legales siguientes:</w:t>
      </w:r>
    </w:p>
    <w:p w:rsidR="00403972" w:rsidRPr="00403972" w:rsidRDefault="00403972" w:rsidP="001533C0">
      <w:pPr>
        <w:spacing w:after="0" w:line="276" w:lineRule="auto"/>
        <w:jc w:val="both"/>
        <w:rPr>
          <w:rFonts w:ascii="Palatino Linotype" w:hAnsi="Palatino Linotype" w:cs="Arial"/>
          <w:sz w:val="24"/>
          <w:szCs w:val="24"/>
        </w:rPr>
      </w:pPr>
    </w:p>
    <w:p w:rsidR="00403972" w:rsidRPr="00804CF9" w:rsidRDefault="00403972" w:rsidP="001533C0">
      <w:pPr>
        <w:spacing w:after="0" w:line="276" w:lineRule="auto"/>
        <w:ind w:left="709" w:right="757"/>
        <w:jc w:val="center"/>
        <w:rPr>
          <w:rFonts w:ascii="Palatino Linotype" w:hAnsi="Palatino Linotype" w:cs="Arial"/>
          <w:b/>
          <w:sz w:val="20"/>
          <w:szCs w:val="20"/>
        </w:rPr>
      </w:pPr>
      <w:r w:rsidRPr="00804CF9">
        <w:rPr>
          <w:rFonts w:ascii="Palatino Linotype" w:hAnsi="Palatino Linotype" w:cs="Arial"/>
          <w:b/>
          <w:sz w:val="20"/>
          <w:szCs w:val="20"/>
        </w:rPr>
        <w:t>Constitución Política de los Estados Unidos Mexicanos</w:t>
      </w:r>
    </w:p>
    <w:p w:rsidR="00E15FAE" w:rsidRPr="00804CF9" w:rsidRDefault="00E15FAE" w:rsidP="001533C0">
      <w:pPr>
        <w:spacing w:after="0" w:line="276" w:lineRule="auto"/>
        <w:ind w:left="709" w:right="757"/>
        <w:jc w:val="center"/>
        <w:rPr>
          <w:rFonts w:ascii="Palatino Linotype" w:hAnsi="Palatino Linotype" w:cs="Arial"/>
          <w:b/>
          <w:sz w:val="20"/>
          <w:szCs w:val="20"/>
        </w:rPr>
      </w:pPr>
    </w:p>
    <w:p w:rsidR="00403972" w:rsidRPr="00804CF9" w:rsidRDefault="00403972" w:rsidP="001533C0">
      <w:pPr>
        <w:spacing w:after="0" w:line="276" w:lineRule="auto"/>
        <w:ind w:left="709" w:right="757"/>
        <w:jc w:val="both"/>
        <w:rPr>
          <w:rFonts w:ascii="Palatino Linotype" w:hAnsi="Palatino Linotype" w:cs="Arial"/>
          <w:sz w:val="20"/>
          <w:szCs w:val="20"/>
        </w:rPr>
      </w:pPr>
      <w:r w:rsidRPr="00804CF9">
        <w:rPr>
          <w:rFonts w:ascii="Palatino Linotype" w:hAnsi="Palatino Linotype" w:cs="Arial"/>
          <w:b/>
          <w:sz w:val="20"/>
          <w:szCs w:val="20"/>
        </w:rPr>
        <w:t>Artículo 16</w:t>
      </w:r>
      <w:r w:rsidRPr="00804CF9">
        <w:rPr>
          <w:rFonts w:ascii="Palatino Linotype" w:hAnsi="Palatino Linotype" w:cs="Arial"/>
          <w:sz w:val="20"/>
          <w:szCs w:val="20"/>
        </w:rPr>
        <w:t xml:space="preserve">. Nadie puede ser molestado en su persona, familia, domicilio, papeles o posesiones, sino en virtud de mandamiento escrito de la autoridad competente, que funde y motive la causa legal del procedimiento. </w:t>
      </w:r>
    </w:p>
    <w:p w:rsidR="00403972" w:rsidRPr="00804CF9" w:rsidRDefault="00403972" w:rsidP="001533C0">
      <w:pPr>
        <w:spacing w:after="0" w:line="276" w:lineRule="auto"/>
        <w:ind w:left="709" w:right="757"/>
        <w:jc w:val="both"/>
        <w:rPr>
          <w:rFonts w:ascii="Palatino Linotype" w:hAnsi="Palatino Linotype" w:cs="Arial"/>
          <w:sz w:val="20"/>
          <w:szCs w:val="20"/>
        </w:rPr>
      </w:pPr>
    </w:p>
    <w:p w:rsidR="00403972" w:rsidRPr="00804CF9" w:rsidRDefault="00403972" w:rsidP="001533C0">
      <w:pPr>
        <w:spacing w:after="0" w:line="276" w:lineRule="auto"/>
        <w:ind w:left="709" w:right="757"/>
        <w:jc w:val="both"/>
        <w:rPr>
          <w:rFonts w:ascii="Palatino Linotype" w:hAnsi="Palatino Linotype" w:cs="Arial"/>
          <w:sz w:val="20"/>
          <w:szCs w:val="20"/>
        </w:rPr>
      </w:pPr>
      <w:r w:rsidRPr="00804CF9">
        <w:rPr>
          <w:rFonts w:ascii="Palatino Linotype" w:hAnsi="Palatino Linotype" w:cs="Arial"/>
          <w:b/>
          <w:sz w:val="20"/>
          <w:szCs w:val="20"/>
        </w:rPr>
        <w:t>Toda persona tiene derecho a la protección de sus datos personales, al acceso, rectificación y cancelación de los mismos, así como a manifestar su oposición, en los términos que fije la ley</w:t>
      </w:r>
      <w:r w:rsidRPr="00804CF9">
        <w:rPr>
          <w:rFonts w:ascii="Palatino Linotype" w:hAnsi="Palatino Linotype" w:cs="Arial"/>
          <w:sz w:val="20"/>
          <w:szCs w:val="20"/>
        </w:rPr>
        <w:t>, la cual establecerá los supuestos de excepción a los principios que rijan el tratamiento de datos, por razones de seguridad nacional, disposiciones de orden público, seguridad y salud públicas o para proteger los derechos de terceros.</w:t>
      </w:r>
    </w:p>
    <w:p w:rsidR="00403972" w:rsidRPr="00804CF9" w:rsidRDefault="00403972" w:rsidP="001533C0">
      <w:pPr>
        <w:spacing w:after="0" w:line="276" w:lineRule="auto"/>
        <w:ind w:left="709" w:right="757"/>
        <w:jc w:val="both"/>
        <w:rPr>
          <w:rFonts w:ascii="Palatino Linotype" w:hAnsi="Palatino Linotype" w:cs="Arial"/>
          <w:i/>
          <w:sz w:val="20"/>
          <w:szCs w:val="20"/>
        </w:rPr>
      </w:pPr>
      <w:r w:rsidRPr="00804CF9">
        <w:rPr>
          <w:rFonts w:ascii="Palatino Linotype" w:hAnsi="Palatino Linotype" w:cs="Arial"/>
          <w:i/>
          <w:sz w:val="20"/>
          <w:szCs w:val="20"/>
        </w:rPr>
        <w:t>…</w:t>
      </w:r>
    </w:p>
    <w:p w:rsidR="00403972" w:rsidRPr="00804CF9" w:rsidRDefault="00403972" w:rsidP="001533C0">
      <w:pPr>
        <w:spacing w:after="0" w:line="276" w:lineRule="auto"/>
        <w:ind w:left="709" w:right="757"/>
        <w:jc w:val="both"/>
        <w:rPr>
          <w:rFonts w:ascii="Palatino Linotype" w:hAnsi="Palatino Linotype" w:cs="Arial"/>
          <w:sz w:val="20"/>
          <w:szCs w:val="20"/>
        </w:rPr>
      </w:pPr>
    </w:p>
    <w:p w:rsidR="00403972" w:rsidRPr="00804CF9" w:rsidRDefault="00403972" w:rsidP="001533C0">
      <w:pPr>
        <w:spacing w:after="0" w:line="276" w:lineRule="auto"/>
        <w:ind w:left="709" w:right="757"/>
        <w:jc w:val="center"/>
        <w:rPr>
          <w:rFonts w:ascii="Palatino Linotype" w:hAnsi="Palatino Linotype" w:cs="Arial"/>
          <w:b/>
          <w:sz w:val="20"/>
          <w:szCs w:val="20"/>
        </w:rPr>
      </w:pPr>
      <w:r w:rsidRPr="00804CF9">
        <w:rPr>
          <w:rFonts w:ascii="Palatino Linotype" w:hAnsi="Palatino Linotype" w:cs="Arial"/>
          <w:b/>
          <w:sz w:val="20"/>
          <w:szCs w:val="20"/>
        </w:rPr>
        <w:t>Criterios Internacionales</w:t>
      </w:r>
    </w:p>
    <w:p w:rsidR="00403972" w:rsidRPr="00804CF9" w:rsidRDefault="00403972" w:rsidP="001533C0">
      <w:pPr>
        <w:spacing w:after="0" w:line="276" w:lineRule="auto"/>
        <w:ind w:left="709" w:right="757"/>
        <w:jc w:val="both"/>
        <w:rPr>
          <w:rFonts w:ascii="Palatino Linotype" w:hAnsi="Palatino Linotype" w:cs="Arial"/>
          <w:b/>
          <w:sz w:val="20"/>
          <w:szCs w:val="20"/>
        </w:rPr>
      </w:pPr>
      <w:r w:rsidRPr="00804CF9">
        <w:rPr>
          <w:rFonts w:ascii="Palatino Linotype" w:hAnsi="Palatino Linotype" w:cs="Arial"/>
          <w:b/>
          <w:sz w:val="20"/>
          <w:szCs w:val="20"/>
        </w:rPr>
        <w:t xml:space="preserve">25. Derecho a la información. Principio de máxima divulgación </w:t>
      </w:r>
    </w:p>
    <w:p w:rsidR="00403972" w:rsidRPr="00804CF9" w:rsidRDefault="00403972" w:rsidP="001533C0">
      <w:pPr>
        <w:spacing w:after="0" w:line="276" w:lineRule="auto"/>
        <w:ind w:left="709" w:right="757"/>
        <w:jc w:val="both"/>
        <w:rPr>
          <w:rFonts w:ascii="Palatino Linotype" w:hAnsi="Palatino Linotype" w:cs="Arial"/>
          <w:sz w:val="20"/>
          <w:szCs w:val="20"/>
        </w:rPr>
      </w:pPr>
      <w:r w:rsidRPr="00804CF9">
        <w:rPr>
          <w:rFonts w:ascii="Palatino Linotype" w:hAnsi="Palatino Linotype" w:cs="Arial"/>
          <w:sz w:val="20"/>
          <w:szCs w:val="20"/>
        </w:rPr>
        <w:t xml:space="preserve">La Corte Interamericana ha determinado que en una sociedad democrática es indispensable que las autoridades estatales se rijan por el principio de máxima divulgación, el cual establece la presunción de que </w:t>
      </w:r>
      <w:r w:rsidRPr="00804CF9">
        <w:rPr>
          <w:rFonts w:ascii="Palatino Linotype" w:hAnsi="Palatino Linotype" w:cs="Arial"/>
          <w:b/>
          <w:sz w:val="20"/>
          <w:szCs w:val="20"/>
        </w:rPr>
        <w:t>toda información es accesible, sujeto a un sistema restringido de excepciones</w:t>
      </w:r>
      <w:r w:rsidRPr="00804CF9">
        <w:rPr>
          <w:rFonts w:ascii="Palatino Linotype" w:hAnsi="Palatino Linotype" w:cs="Arial"/>
          <w:sz w:val="20"/>
          <w:szCs w:val="20"/>
        </w:rPr>
        <w:t xml:space="preserve"> (Caso Gomes </w:t>
      </w:r>
      <w:proofErr w:type="spellStart"/>
      <w:r w:rsidRPr="00804CF9">
        <w:rPr>
          <w:rFonts w:ascii="Palatino Linotype" w:hAnsi="Palatino Linotype" w:cs="Arial"/>
          <w:sz w:val="20"/>
          <w:szCs w:val="20"/>
        </w:rPr>
        <w:t>Lund</w:t>
      </w:r>
      <w:proofErr w:type="spellEnd"/>
      <w:r w:rsidRPr="00804CF9">
        <w:rPr>
          <w:rFonts w:ascii="Palatino Linotype" w:hAnsi="Palatino Linotype" w:cs="Arial"/>
          <w:sz w:val="20"/>
          <w:szCs w:val="20"/>
        </w:rPr>
        <w:t xml:space="preserve"> y otros (</w:t>
      </w:r>
      <w:proofErr w:type="spellStart"/>
      <w:r w:rsidRPr="00804CF9">
        <w:rPr>
          <w:rFonts w:ascii="Palatino Linotype" w:hAnsi="Palatino Linotype" w:cs="Arial"/>
          <w:sz w:val="20"/>
          <w:szCs w:val="20"/>
        </w:rPr>
        <w:t>Guerrilha</w:t>
      </w:r>
      <w:proofErr w:type="spellEnd"/>
      <w:r w:rsidRPr="00804CF9">
        <w:rPr>
          <w:rFonts w:ascii="Palatino Linotype" w:hAnsi="Palatino Linotype" w:cs="Arial"/>
          <w:sz w:val="20"/>
          <w:szCs w:val="20"/>
        </w:rPr>
        <w:t xml:space="preserve"> do </w:t>
      </w:r>
      <w:proofErr w:type="spellStart"/>
      <w:r w:rsidRPr="00804CF9">
        <w:rPr>
          <w:rFonts w:ascii="Palatino Linotype" w:hAnsi="Palatino Linotype" w:cs="Arial"/>
          <w:sz w:val="20"/>
          <w:szCs w:val="20"/>
        </w:rPr>
        <w:t>Araguaia</w:t>
      </w:r>
      <w:proofErr w:type="spellEnd"/>
      <w:r w:rsidRPr="00804CF9">
        <w:rPr>
          <w:rFonts w:ascii="Palatino Linotype" w:hAnsi="Palatino Linotype" w:cs="Arial"/>
          <w:sz w:val="20"/>
          <w:szCs w:val="20"/>
        </w:rPr>
        <w:t>) Vs. Brasil. Excepciones Preliminares, Fondo, Reparaciones y Costas. Sentencia de 24 de noviembre de 2010, Serie C No. 219).</w:t>
      </w:r>
    </w:p>
    <w:p w:rsidR="00403972" w:rsidRPr="00403972" w:rsidRDefault="00403972" w:rsidP="001533C0">
      <w:pPr>
        <w:spacing w:after="0" w:line="276" w:lineRule="auto"/>
        <w:jc w:val="both"/>
        <w:rPr>
          <w:rFonts w:ascii="Palatino Linotype" w:hAnsi="Palatino Linotype" w:cs="Arial"/>
          <w:sz w:val="24"/>
          <w:szCs w:val="24"/>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 xml:space="preserve">Es así, que de la interpretación sistemática a los ordenamientos transcritos, en relación con los artículos 1°, 7°, 11, 12, 100, 113 y 116 de la Ley General de Transparencia y Acceso a la Información Pública y 1°, 4°, 7°, 11, 12, 140 y 143 de la Ley de Transparencia y Acceso a la Información Pública del Estado de México y Municipios, se </w:t>
      </w:r>
      <w:r w:rsidR="00E15FAE" w:rsidRPr="00804CF9">
        <w:rPr>
          <w:rFonts w:ascii="Palatino Linotype" w:hAnsi="Palatino Linotype" w:cs="Arial"/>
        </w:rPr>
        <w:t>deduce</w:t>
      </w:r>
      <w:r w:rsidRPr="00804CF9">
        <w:rPr>
          <w:rFonts w:ascii="Palatino Linotype" w:hAnsi="Palatino Linotype" w:cs="Arial"/>
        </w:rPr>
        <w:t xml:space="preserve"> que </w:t>
      </w:r>
      <w:r w:rsidR="00804CF9">
        <w:rPr>
          <w:rFonts w:ascii="Palatino Linotype" w:hAnsi="Palatino Linotype" w:cs="Arial"/>
        </w:rPr>
        <w:t>todo documento en poder de los s</w:t>
      </w:r>
      <w:r w:rsidRPr="00804CF9">
        <w:rPr>
          <w:rFonts w:ascii="Palatino Linotype" w:hAnsi="Palatino Linotype" w:cs="Arial"/>
        </w:rPr>
        <w:t xml:space="preserve">ujetos </w:t>
      </w:r>
      <w:r w:rsidR="00804CF9">
        <w:rPr>
          <w:rFonts w:ascii="Palatino Linotype" w:hAnsi="Palatino Linotype" w:cs="Arial"/>
        </w:rPr>
        <w:t>o</w:t>
      </w:r>
      <w:r w:rsidRPr="00804CF9">
        <w:rPr>
          <w:rFonts w:ascii="Palatino Linotype" w:hAnsi="Palatino Linotype" w:cs="Arial"/>
        </w:rPr>
        <w:t xml:space="preserve">bligados son por origen públicos, empero algunos de ellos pudiesen </w:t>
      </w:r>
      <w:r w:rsidRPr="00804CF9">
        <w:rPr>
          <w:rFonts w:ascii="Palatino Linotype" w:hAnsi="Palatino Linotype" w:cs="Arial"/>
        </w:rPr>
        <w:lastRenderedPageBreak/>
        <w:t>contener inmersos datos o información susceptible de ser clasificada, como información reservada o confidencial; entonces, la misma normatividad es la que considera excepciones al derecho de acceso a la información.</w:t>
      </w:r>
    </w:p>
    <w:p w:rsidR="00403972" w:rsidRPr="00804CF9" w:rsidRDefault="00403972"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 xml:space="preserve">En </w:t>
      </w:r>
      <w:r w:rsidR="00E15FAE" w:rsidRPr="00804CF9">
        <w:rPr>
          <w:rFonts w:ascii="Palatino Linotype" w:hAnsi="Palatino Linotype" w:cs="Arial"/>
        </w:rPr>
        <w:t>esta tesitura, debe señalarse que</w:t>
      </w:r>
      <w:r w:rsidRPr="00804CF9">
        <w:rPr>
          <w:rFonts w:ascii="Palatino Linotype" w:hAnsi="Palatino Linotype" w:cs="Arial"/>
        </w:rPr>
        <w:t xml:space="preserve"> la información </w:t>
      </w:r>
      <w:r w:rsidRPr="00804CF9">
        <w:rPr>
          <w:rFonts w:ascii="Palatino Linotype" w:hAnsi="Palatino Linotype" w:cs="Arial"/>
          <w:b/>
        </w:rPr>
        <w:t>confidencial</w:t>
      </w:r>
      <w:r w:rsidRPr="00804CF9">
        <w:rPr>
          <w:rFonts w:ascii="Palatino Linotype" w:hAnsi="Palatino Linotype" w:cs="Arial"/>
        </w:rPr>
        <w:t xml:space="preserve"> es aquella que se refiere a </w:t>
      </w:r>
      <w:r w:rsidRPr="00804CF9">
        <w:rPr>
          <w:rFonts w:ascii="Palatino Linotype" w:hAnsi="Palatino Linotype" w:cs="Arial"/>
          <w:b/>
        </w:rPr>
        <w:t>los datos personales concernientes a una persona física identificada o identificable</w:t>
      </w:r>
      <w:r w:rsidRPr="00804CF9">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403972" w:rsidRPr="00804CF9" w:rsidRDefault="00403972" w:rsidP="001533C0">
      <w:pPr>
        <w:spacing w:after="0" w:line="276" w:lineRule="auto"/>
        <w:jc w:val="both"/>
        <w:rPr>
          <w:rFonts w:ascii="Palatino Linotype" w:hAnsi="Palatino Linotype" w:cs="Arial"/>
        </w:rPr>
      </w:pPr>
    </w:p>
    <w:p w:rsidR="00403972" w:rsidRPr="00804CF9" w:rsidRDefault="003125C4" w:rsidP="001533C0">
      <w:pPr>
        <w:spacing w:after="0" w:line="276" w:lineRule="auto"/>
        <w:jc w:val="both"/>
        <w:rPr>
          <w:rFonts w:ascii="Palatino Linotype" w:hAnsi="Palatino Linotype" w:cs="Arial"/>
        </w:rPr>
      </w:pPr>
      <w:r w:rsidRPr="00804CF9">
        <w:rPr>
          <w:rFonts w:ascii="Palatino Linotype" w:hAnsi="Palatino Linotype" w:cs="Arial"/>
        </w:rPr>
        <w:t xml:space="preserve">En virtud de lo expuesto, </w:t>
      </w:r>
      <w:r w:rsidR="00403972" w:rsidRPr="00804CF9">
        <w:rPr>
          <w:rFonts w:ascii="Palatino Linotype" w:hAnsi="Palatino Linotype" w:cs="Arial"/>
        </w:rPr>
        <w:t xml:space="preserve">por regla general la fotografía es un dato personal confidencial, </w:t>
      </w:r>
      <w:r w:rsidRPr="00804CF9">
        <w:rPr>
          <w:rFonts w:ascii="Palatino Linotype" w:hAnsi="Palatino Linotype" w:cs="Arial"/>
        </w:rPr>
        <w:t xml:space="preserve">acorde a lo establecido por el </w:t>
      </w:r>
      <w:r w:rsidR="00403972" w:rsidRPr="00804CF9">
        <w:rPr>
          <w:rFonts w:ascii="Palatino Linotype" w:hAnsi="Palatino Linotype" w:cs="Arial"/>
        </w:rPr>
        <w:t>artículo 3°, fracción IX y 143, fracción I</w:t>
      </w:r>
      <w:r w:rsidRPr="00804CF9">
        <w:rPr>
          <w:rFonts w:ascii="Palatino Linotype" w:hAnsi="Palatino Linotype" w:cs="Arial"/>
        </w:rPr>
        <w:t>,</w:t>
      </w:r>
      <w:r w:rsidR="00403972" w:rsidRPr="00804CF9">
        <w:rPr>
          <w:rFonts w:ascii="Palatino Linotype" w:hAnsi="Palatino Linotype" w:cs="Arial"/>
        </w:rPr>
        <w:t xml:space="preserve"> de la Ley de Transparencia y Acceso a la Información Pública del Estado de </w:t>
      </w:r>
      <w:r w:rsidRPr="00804CF9">
        <w:rPr>
          <w:rFonts w:ascii="Palatino Linotype" w:hAnsi="Palatino Linotype" w:cs="Arial"/>
        </w:rPr>
        <w:t>México y Municipios, así como por</w:t>
      </w:r>
      <w:r w:rsidR="00403972" w:rsidRPr="00804CF9">
        <w:rPr>
          <w:rFonts w:ascii="Palatino Linotype" w:hAnsi="Palatino Linotype" w:cs="Arial"/>
        </w:rPr>
        <w:t xml:space="preserve"> el artículo 4°, fracciones XI </w:t>
      </w:r>
      <w:r w:rsidRPr="00804CF9">
        <w:rPr>
          <w:rFonts w:ascii="Palatino Linotype" w:hAnsi="Palatino Linotype" w:cs="Arial"/>
        </w:rPr>
        <w:t xml:space="preserve">y XII, </w:t>
      </w:r>
      <w:r w:rsidR="00403972" w:rsidRPr="00804CF9">
        <w:rPr>
          <w:rFonts w:ascii="Palatino Linotype" w:hAnsi="Palatino Linotype" w:cs="Arial"/>
        </w:rPr>
        <w:t xml:space="preserve">de la Ley de Protección de Datos Personales en Posesión de Sujetos Obligados del Estado de México y Municipios. </w:t>
      </w:r>
      <w:r w:rsidRPr="00804CF9">
        <w:rPr>
          <w:rFonts w:ascii="Palatino Linotype" w:hAnsi="Palatino Linotype" w:cs="Arial"/>
        </w:rPr>
        <w:t>Esto es así, debido a que</w:t>
      </w:r>
      <w:r w:rsidR="00403972" w:rsidRPr="00804CF9">
        <w:rPr>
          <w:rFonts w:ascii="Palatino Linotype" w:hAnsi="Palatino Linotype" w:cs="Arial"/>
        </w:rPr>
        <w:t xml:space="preserve"> la</w:t>
      </w:r>
      <w:r w:rsidRPr="00804CF9">
        <w:rPr>
          <w:rFonts w:ascii="Palatino Linotype" w:hAnsi="Palatino Linotype" w:cs="Arial"/>
        </w:rPr>
        <w:t xml:space="preserve"> fotografía</w:t>
      </w:r>
      <w:r w:rsidR="00403972" w:rsidRPr="00804CF9">
        <w:rPr>
          <w:rFonts w:ascii="Palatino Linotype" w:hAnsi="Palatino Linotype" w:cs="Arial"/>
        </w:rPr>
        <w:t xml:space="preserve"> </w:t>
      </w:r>
      <w:r w:rsidRPr="00804CF9">
        <w:rPr>
          <w:rFonts w:ascii="Palatino Linotype" w:hAnsi="Palatino Linotype" w:cs="Arial"/>
        </w:rPr>
        <w:t>consiste en</w:t>
      </w:r>
      <w:r w:rsidR="00403972" w:rsidRPr="00804CF9">
        <w:rPr>
          <w:rFonts w:ascii="Palatino Linotype" w:hAnsi="Palatino Linotype" w:cs="Arial"/>
        </w:rPr>
        <w:t xml:space="preserve"> la reproducción fiel de las características físicas de una persona, por lo que representan un instrumento de identificación, proyección exterior y factor imprescindible para su propio reconocimiento como sujeto individual. </w:t>
      </w:r>
    </w:p>
    <w:p w:rsidR="00403972" w:rsidRPr="00804CF9" w:rsidRDefault="00403972" w:rsidP="001533C0">
      <w:pPr>
        <w:spacing w:after="0" w:line="276" w:lineRule="auto"/>
        <w:jc w:val="both"/>
        <w:rPr>
          <w:rFonts w:ascii="Palatino Linotype" w:hAnsi="Palatino Linotype" w:cs="Arial"/>
        </w:rPr>
      </w:pPr>
    </w:p>
    <w:p w:rsidR="00403972" w:rsidRPr="00804CF9" w:rsidRDefault="003125C4" w:rsidP="001533C0">
      <w:pPr>
        <w:spacing w:after="0" w:line="276" w:lineRule="auto"/>
        <w:jc w:val="both"/>
        <w:rPr>
          <w:rFonts w:ascii="Palatino Linotype" w:hAnsi="Palatino Linotype" w:cs="Arial"/>
        </w:rPr>
      </w:pPr>
      <w:r w:rsidRPr="00804CF9">
        <w:rPr>
          <w:rFonts w:ascii="Palatino Linotype" w:hAnsi="Palatino Linotype" w:cs="Arial"/>
        </w:rPr>
        <w:t>Es necesario tener presente que</w:t>
      </w:r>
      <w:r w:rsidR="00403972" w:rsidRPr="00804CF9">
        <w:rPr>
          <w:rFonts w:ascii="Palatino Linotype" w:hAnsi="Palatino Linotype" w:cs="Arial"/>
        </w:rPr>
        <w:t xml:space="preserv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403972" w:rsidRPr="00804CF9" w:rsidRDefault="00403972"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403972" w:rsidRPr="00804CF9" w:rsidRDefault="00403972"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lastRenderedPageBreak/>
        <w:t xml:space="preserve">Referente a lo anterior, es de indicar que si bien no hay algún ordenamiento del que se advierta la obligatoriedad para contar con los documentos que acrediten </w:t>
      </w:r>
      <w:r w:rsidR="00B303A4" w:rsidRPr="00804CF9">
        <w:rPr>
          <w:rFonts w:ascii="Palatino Linotype" w:hAnsi="Palatino Linotype" w:cs="Arial"/>
        </w:rPr>
        <w:t xml:space="preserve">la escolaridad del personal, </w:t>
      </w:r>
      <w:r w:rsidRPr="00804CF9">
        <w:rPr>
          <w:rFonts w:ascii="Palatino Linotype" w:hAnsi="Palatino Linotype" w:cs="Arial"/>
        </w:rPr>
        <w:t xml:space="preserve">donde conste su fotografía; en el caso que nos ocupa, al asumir </w:t>
      </w:r>
      <w:r w:rsidR="00B303A4" w:rsidRPr="00804CF9">
        <w:rPr>
          <w:rFonts w:ascii="Palatino Linotype" w:hAnsi="Palatino Linotype" w:cs="Arial"/>
        </w:rPr>
        <w:t>el Sujeto Obligado contar con la información solicitada</w:t>
      </w:r>
      <w:r w:rsidRPr="00804CF9">
        <w:rPr>
          <w:rFonts w:ascii="Palatino Linotype" w:hAnsi="Palatino Linotype" w:cs="Arial"/>
        </w:rPr>
        <w:t xml:space="preserve">, surge la disyuntiva si la misma es de carácter público o si bien debe prevalecer la confidencialidad.  </w:t>
      </w:r>
    </w:p>
    <w:p w:rsidR="003125C4" w:rsidRPr="00804CF9" w:rsidRDefault="003125C4"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Ante ello, es importante desta</w:t>
      </w:r>
      <w:r w:rsidR="009B15DD" w:rsidRPr="00804CF9">
        <w:rPr>
          <w:rFonts w:ascii="Palatino Linotype" w:hAnsi="Palatino Linotype" w:cs="Arial"/>
        </w:rPr>
        <w:t xml:space="preserve">car que los servidores públicos </w:t>
      </w:r>
      <w:r w:rsidRPr="00804CF9">
        <w:rPr>
          <w:rFonts w:ascii="Palatino Linotype" w:hAnsi="Palatino Linotype" w:cs="Arial"/>
        </w:rPr>
        <w:t xml:space="preserve">desempeñan cargos </w:t>
      </w:r>
      <w:r w:rsidR="00B303A4" w:rsidRPr="00804CF9">
        <w:rPr>
          <w:rFonts w:ascii="Palatino Linotype" w:hAnsi="Palatino Linotype" w:cs="Arial"/>
        </w:rPr>
        <w:t>en los que brindan</w:t>
      </w:r>
      <w:r w:rsidRPr="00804CF9">
        <w:rPr>
          <w:rFonts w:ascii="Palatino Linotype" w:hAnsi="Palatino Linotype" w:cs="Arial"/>
        </w:rPr>
        <w:t xml:space="preserve"> atención al público a través de trámites generales básicos para orientar el régimen de gobierno, la organización y funcionamiento de la Administración Pública Municipal, con el fin de lograr la eficiencia y eficacia en el ejercicio del poder público, que transforme el gasto público en inversión pública para la mejora de las condiciones de vida de los habitantes del Municipio,  por lo que ellos son el contacto directo entre la gestión gubernamental y la ciudadanía.</w:t>
      </w:r>
    </w:p>
    <w:p w:rsidR="00403972" w:rsidRPr="00804CF9" w:rsidRDefault="00403972"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Dicho de otra manera, la publicidad de la imagen de su rostro permite que sea asociado, con su nombre, cargo y función de gobierno; lo que permite a la ciudadanía identificar al servidor público encargado del trámite que le interesa o el que autorizó el acto de gobierno solicitado o en el que directamente se ve involucrado.</w:t>
      </w:r>
    </w:p>
    <w:p w:rsidR="00403972" w:rsidRPr="00804CF9" w:rsidRDefault="00403972"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 xml:space="preserve">Asimismo, </w:t>
      </w:r>
      <w:r w:rsidR="00B303A4" w:rsidRPr="00804CF9">
        <w:rPr>
          <w:rFonts w:ascii="Palatino Linotype" w:hAnsi="Palatino Linotype" w:cs="Arial"/>
        </w:rPr>
        <w:t xml:space="preserve">se estima </w:t>
      </w:r>
      <w:r w:rsidRPr="00804CF9">
        <w:rPr>
          <w:rFonts w:ascii="Palatino Linotype" w:hAnsi="Palatino Linotype" w:cs="Arial"/>
        </w:rPr>
        <w:t xml:space="preserve">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Entonces, se entiende que la publicidad de la fotografía, incluida en un documento de acceso público favorece la rendición de cuentas, al permitir a las personas conocer a sus autoridades. </w:t>
      </w:r>
    </w:p>
    <w:p w:rsidR="00403972" w:rsidRPr="00804CF9" w:rsidRDefault="00403972" w:rsidP="001533C0">
      <w:pPr>
        <w:spacing w:after="0" w:line="276" w:lineRule="auto"/>
        <w:jc w:val="both"/>
        <w:rPr>
          <w:rFonts w:ascii="Palatino Linotype" w:hAnsi="Palatino Linotype"/>
        </w:rPr>
      </w:pPr>
    </w:p>
    <w:p w:rsidR="00403972" w:rsidRPr="00804CF9" w:rsidRDefault="00B303A4" w:rsidP="001533C0">
      <w:pPr>
        <w:spacing w:after="0" w:line="276" w:lineRule="auto"/>
        <w:jc w:val="both"/>
        <w:rPr>
          <w:rFonts w:ascii="Palatino Linotype" w:hAnsi="Palatino Linotype"/>
        </w:rPr>
      </w:pPr>
      <w:r w:rsidRPr="00804CF9">
        <w:rPr>
          <w:rFonts w:ascii="Palatino Linotype" w:hAnsi="Palatino Linotype"/>
        </w:rPr>
        <w:lastRenderedPageBreak/>
        <w:t>No se omite mencionar, la importancia de</w:t>
      </w:r>
      <w:r w:rsidR="00403972" w:rsidRPr="00804CF9">
        <w:rPr>
          <w:rFonts w:ascii="Palatino Linotype" w:hAnsi="Palatino Linotype"/>
        </w:rPr>
        <w:t xml:space="preserve"> tomar en cuenta que los documentos en donde se encuentran las fotografías</w:t>
      </w:r>
      <w:r w:rsidRPr="00804CF9">
        <w:rPr>
          <w:rFonts w:ascii="Palatino Linotype" w:hAnsi="Palatino Linotype"/>
        </w:rPr>
        <w:t xml:space="preserve"> que se ordenan testar, son </w:t>
      </w:r>
      <w:r w:rsidR="00403972" w:rsidRPr="00804CF9">
        <w:rPr>
          <w:rFonts w:ascii="Palatino Linotype" w:hAnsi="Palatino Linotype"/>
        </w:rPr>
        <w:t xml:space="preserve">aquellos que acreditan el nivel de estudios de los servidores públicos; de </w:t>
      </w:r>
      <w:r w:rsidRPr="00804CF9">
        <w:rPr>
          <w:rFonts w:ascii="Palatino Linotype" w:hAnsi="Palatino Linotype"/>
        </w:rPr>
        <w:t>manera tal,</w:t>
      </w:r>
      <w:r w:rsidR="00403972" w:rsidRPr="00804CF9">
        <w:rPr>
          <w:rFonts w:ascii="Palatino Linotype" w:hAnsi="Palatino Linotype"/>
        </w:rPr>
        <w:t xml:space="preserve"> que el acceso a esta información permite a la ciudadanía verificar que los servidores públicos cuentan con el grado académico con el que se ostentan, así como si su perfil profesional es idóneo para 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rsidR="00403972" w:rsidRPr="00804CF9" w:rsidRDefault="00403972" w:rsidP="001533C0">
      <w:pPr>
        <w:spacing w:after="0" w:line="276" w:lineRule="auto"/>
        <w:jc w:val="both"/>
        <w:rPr>
          <w:rFonts w:ascii="Palatino Linotype" w:hAnsi="Palatino Linotype" w:cs="Arial"/>
        </w:rPr>
      </w:pPr>
    </w:p>
    <w:p w:rsidR="00403972" w:rsidRPr="00804CF9" w:rsidRDefault="00403972" w:rsidP="001533C0">
      <w:pPr>
        <w:spacing w:after="0" w:line="276" w:lineRule="auto"/>
        <w:jc w:val="both"/>
        <w:rPr>
          <w:rFonts w:ascii="Palatino Linotype" w:hAnsi="Palatino Linotype" w:cs="Arial"/>
        </w:rPr>
      </w:pPr>
      <w:r w:rsidRPr="00804CF9">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403972" w:rsidRPr="00804CF9" w:rsidRDefault="00403972" w:rsidP="001533C0">
      <w:pPr>
        <w:spacing w:after="0" w:line="276" w:lineRule="auto"/>
        <w:jc w:val="both"/>
        <w:rPr>
          <w:rFonts w:ascii="Palatino Linotype" w:hAnsi="Palatino Linotype" w:cs="Arial"/>
        </w:rPr>
      </w:pPr>
    </w:p>
    <w:p w:rsidR="00403972" w:rsidRPr="00804CF9" w:rsidRDefault="0085359C" w:rsidP="001533C0">
      <w:pPr>
        <w:spacing w:after="0" w:line="276" w:lineRule="auto"/>
        <w:jc w:val="both"/>
        <w:rPr>
          <w:rFonts w:ascii="Palatino Linotype" w:hAnsi="Palatino Linotype" w:cs="Arial"/>
        </w:rPr>
      </w:pPr>
      <w:r w:rsidRPr="00804CF9">
        <w:rPr>
          <w:rFonts w:ascii="Palatino Linotype" w:hAnsi="Palatino Linotype" w:cs="Arial"/>
        </w:rPr>
        <w:t>R</w:t>
      </w:r>
      <w:r w:rsidR="00403972" w:rsidRPr="00804CF9">
        <w:rPr>
          <w:rFonts w:ascii="Palatino Linotype" w:hAnsi="Palatino Linotype" w:cs="Arial"/>
        </w:rPr>
        <w:t>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403972" w:rsidRPr="00403972" w:rsidRDefault="00403972" w:rsidP="001533C0">
      <w:pPr>
        <w:spacing w:after="0" w:line="276" w:lineRule="auto"/>
        <w:jc w:val="both"/>
        <w:rPr>
          <w:rFonts w:ascii="Palatino Linotype" w:hAnsi="Palatino Linotype" w:cs="Arial"/>
          <w:sz w:val="24"/>
          <w:szCs w:val="24"/>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“Época: Décima Época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Registro: 2002944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Instancia: Tribunales Colegiados de Circuito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Tipo de Tesis: Aislada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Fuente: Semanario Judicial de la Federación y su Gaceta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Libro XVIII, Marzo de 2013, Tomo 3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Materia(s): Constitucional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Tesis: I.4o.A.40 A (10a.)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Página: 1899 </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b/>
          <w:sz w:val="20"/>
          <w:szCs w:val="20"/>
        </w:rPr>
      </w:pPr>
      <w:r w:rsidRPr="009C491D">
        <w:rPr>
          <w:rFonts w:ascii="Palatino Linotype" w:hAnsi="Palatino Linotype" w:cs="Arial"/>
          <w:b/>
          <w:sz w:val="20"/>
          <w:szCs w:val="20"/>
        </w:rPr>
        <w:t>ACCESO A LA INFORMACIÓN. IMPLICACIÓN DEL PRINCIPIO DE MÁXIMA PUBLICIDAD EN EL DERECHO FUNDAMENTAL RELATIVO.</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Del artículo 6o. de la Constitución Política de los Estados Unidos Mexicanos se advierte que el Estado Mexicano está constreñido a publicitar sus actos, pues se reconoce el </w:t>
      </w:r>
      <w:r w:rsidRPr="009C491D">
        <w:rPr>
          <w:rFonts w:ascii="Palatino Linotype" w:hAnsi="Palatino Linotype" w:cs="Arial"/>
          <w:sz w:val="20"/>
          <w:szCs w:val="20"/>
        </w:rPr>
        <w:lastRenderedPageBreak/>
        <w:t>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CUARTO TRIBUNAL COLEGIADO EN MATERIA ADMINISTRATIVA DEL PRIMER CIRCUITO.</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Amparo en revisión 257/2012. Ruth Corona Muñoz. 6 de diciembre de 2012. Unanimidad de votos. Ponente: Jean Claude </w:t>
      </w:r>
      <w:proofErr w:type="spellStart"/>
      <w:r w:rsidRPr="009C491D">
        <w:rPr>
          <w:rFonts w:ascii="Palatino Linotype" w:hAnsi="Palatino Linotype" w:cs="Arial"/>
          <w:sz w:val="20"/>
          <w:szCs w:val="20"/>
        </w:rPr>
        <w:t>Tron</w:t>
      </w:r>
      <w:proofErr w:type="spellEnd"/>
      <w:r w:rsidRPr="009C491D">
        <w:rPr>
          <w:rFonts w:ascii="Palatino Linotype" w:hAnsi="Palatino Linotype" w:cs="Arial"/>
          <w:sz w:val="20"/>
          <w:szCs w:val="20"/>
        </w:rPr>
        <w:t xml:space="preserve"> </w:t>
      </w:r>
      <w:proofErr w:type="spellStart"/>
      <w:r w:rsidRPr="009C491D">
        <w:rPr>
          <w:rFonts w:ascii="Palatino Linotype" w:hAnsi="Palatino Linotype" w:cs="Arial"/>
          <w:sz w:val="20"/>
          <w:szCs w:val="20"/>
        </w:rPr>
        <w:t>Petit</w:t>
      </w:r>
      <w:proofErr w:type="spellEnd"/>
      <w:r w:rsidRPr="009C491D">
        <w:rPr>
          <w:rFonts w:ascii="Palatino Linotype" w:hAnsi="Palatino Linotype" w:cs="Arial"/>
          <w:sz w:val="20"/>
          <w:szCs w:val="20"/>
        </w:rPr>
        <w:t>. Secretaria: Mayra Susana Martínez López.</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Época: Décima Época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Registro: 2004022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Instancia: Primera Sala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Tipo de Tesis: Aislada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Fuente: Semanario Judicial de la Federación y su Gaceta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Libro XXII, Julio de 2013, Tomo 1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Materia(s): Constitucional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Tesis: 1a. CCXXIII/2013 (10a.) </w:t>
      </w: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 xml:space="preserve">Página: 562 </w:t>
      </w:r>
    </w:p>
    <w:p w:rsidR="00403972" w:rsidRPr="009C491D" w:rsidRDefault="00403972" w:rsidP="009C491D">
      <w:pPr>
        <w:spacing w:after="0" w:line="276" w:lineRule="auto"/>
        <w:ind w:left="567" w:right="567"/>
        <w:jc w:val="both"/>
        <w:rPr>
          <w:rFonts w:ascii="Palatino Linotype" w:hAnsi="Palatino Linotype" w:cs="Arial"/>
          <w:b/>
          <w:sz w:val="20"/>
          <w:szCs w:val="20"/>
        </w:rPr>
      </w:pPr>
      <w:r w:rsidRPr="009C491D">
        <w:rPr>
          <w:rFonts w:ascii="Palatino Linotype" w:hAnsi="Palatino Linotype" w:cs="Arial"/>
          <w:b/>
          <w:sz w:val="20"/>
          <w:szCs w:val="20"/>
        </w:rPr>
        <w:lastRenderedPageBreak/>
        <w:t>LIBERTAD DE EXPRESIÓN. QUIENES ASPIRAN A UN CARGO PÚBLICO DEBEN CONSIDERARSE COMO PERSONAS PÚBLICAS Y, EN CONSECUENCIA, SOPORTAR UN MAYOR NIVEL DE INTROMISIÓN EN SU VIDA PRIVADA.</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403972" w:rsidRPr="009C491D" w:rsidRDefault="00403972" w:rsidP="009C491D">
      <w:pPr>
        <w:spacing w:after="0" w:line="276" w:lineRule="auto"/>
        <w:ind w:left="567" w:right="567"/>
        <w:jc w:val="both"/>
        <w:rPr>
          <w:rFonts w:ascii="Palatino Linotype" w:hAnsi="Palatino Linotype" w:cs="Arial"/>
          <w:sz w:val="20"/>
          <w:szCs w:val="20"/>
        </w:rPr>
      </w:pPr>
    </w:p>
    <w:p w:rsidR="00403972" w:rsidRPr="009C491D" w:rsidRDefault="00403972" w:rsidP="009C491D">
      <w:pPr>
        <w:spacing w:after="0" w:line="276" w:lineRule="auto"/>
        <w:ind w:left="567" w:right="567"/>
        <w:jc w:val="both"/>
        <w:rPr>
          <w:rFonts w:ascii="Palatino Linotype" w:hAnsi="Palatino Linotype" w:cs="Arial"/>
          <w:sz w:val="20"/>
          <w:szCs w:val="20"/>
        </w:rPr>
      </w:pPr>
      <w:r w:rsidRPr="009C491D">
        <w:rPr>
          <w:rFonts w:ascii="Palatino Linotype" w:hAnsi="Palatino Linotype" w:cs="Arial"/>
          <w:sz w:val="20"/>
          <w:szCs w:val="20"/>
        </w:rPr>
        <w:t>Amparo directo en revisión 1013/2013. Juan Manuel Ortega de León. 12 de junio de 2013. Cinco votos. Ponente: Arturo Zaldívar Lelo de Larrea. Secretario: Javier Mijangos y González.”</w:t>
      </w:r>
    </w:p>
    <w:p w:rsidR="00403972" w:rsidRPr="00403972" w:rsidRDefault="00403972" w:rsidP="001533C0">
      <w:pPr>
        <w:spacing w:after="0" w:line="276" w:lineRule="auto"/>
        <w:ind w:left="709" w:right="757"/>
        <w:jc w:val="both"/>
        <w:rPr>
          <w:rFonts w:ascii="Palatino Linotype" w:hAnsi="Palatino Linotype" w:cs="Arial"/>
          <w:i/>
          <w:sz w:val="24"/>
          <w:szCs w:val="24"/>
        </w:rPr>
      </w:pPr>
    </w:p>
    <w:p w:rsidR="00403972" w:rsidRPr="009C491D" w:rsidRDefault="00403972" w:rsidP="001533C0">
      <w:pPr>
        <w:spacing w:after="0" w:line="276" w:lineRule="auto"/>
        <w:jc w:val="both"/>
        <w:rPr>
          <w:rFonts w:ascii="Palatino Linotype" w:hAnsi="Palatino Linotype" w:cs="Arial"/>
        </w:rPr>
      </w:pPr>
      <w:r w:rsidRPr="009C491D">
        <w:rPr>
          <w:rFonts w:ascii="Palatino Linotype" w:hAnsi="Palatino Linotype" w:cs="Arial"/>
        </w:rPr>
        <w:t xml:space="preserve">Por </w:t>
      </w:r>
      <w:r w:rsidR="0085359C" w:rsidRPr="009C491D">
        <w:rPr>
          <w:rFonts w:ascii="Palatino Linotype" w:hAnsi="Palatino Linotype" w:cs="Arial"/>
        </w:rPr>
        <w:t>lo expuesto,</w:t>
      </w:r>
      <w:r w:rsidRPr="009C491D">
        <w:rPr>
          <w:rFonts w:ascii="Palatino Linotype" w:hAnsi="Palatino Linotype" w:cs="Arial"/>
        </w:rPr>
        <w:t xml:space="preserve"> la p</w:t>
      </w:r>
      <w:r w:rsidR="009C491D">
        <w:rPr>
          <w:rFonts w:ascii="Palatino Linotype" w:hAnsi="Palatino Linotype" w:cs="Arial"/>
        </w:rPr>
        <w:t>ublicidad de una fotografía</w:t>
      </w:r>
      <w:r w:rsidRPr="009C491D">
        <w:rPr>
          <w:rFonts w:ascii="Palatino Linotype" w:hAnsi="Palatino Linotype" w:cs="Arial"/>
        </w:rPr>
        <w:t xml:space="preserve"> se justifica en aquellos casos en los que la misma se reproduce, a fin de identificar a una persona en razón de las características propias del ejercicio de un cargo, empleo o comisión en el servicio público o bien para ocupar alguno de éstos. </w:t>
      </w:r>
    </w:p>
    <w:p w:rsidR="00403972" w:rsidRPr="009C491D" w:rsidRDefault="00403972" w:rsidP="001533C0">
      <w:pPr>
        <w:spacing w:after="0" w:line="276" w:lineRule="auto"/>
        <w:jc w:val="both"/>
        <w:rPr>
          <w:rFonts w:ascii="Palatino Linotype" w:hAnsi="Palatino Linotype" w:cs="Arial"/>
        </w:rPr>
      </w:pPr>
    </w:p>
    <w:p w:rsidR="00403972" w:rsidRPr="009C491D" w:rsidRDefault="00403972" w:rsidP="001533C0">
      <w:pPr>
        <w:spacing w:after="0" w:line="276" w:lineRule="auto"/>
        <w:jc w:val="both"/>
        <w:rPr>
          <w:rFonts w:ascii="Palatino Linotype" w:hAnsi="Palatino Linotype" w:cs="Arial"/>
        </w:rPr>
      </w:pPr>
      <w:r w:rsidRPr="009C491D">
        <w:rPr>
          <w:rFonts w:ascii="Palatino Linotype" w:hAnsi="Palatino Linotype" w:cs="Arial"/>
        </w:rPr>
        <w:t xml:space="preserve">Por último, </w:t>
      </w:r>
      <w:r w:rsidR="0085359C" w:rsidRPr="009C491D">
        <w:rPr>
          <w:rFonts w:ascii="Palatino Linotype" w:hAnsi="Palatino Linotype" w:cs="Arial"/>
        </w:rPr>
        <w:t>se debe señalar</w:t>
      </w:r>
      <w:r w:rsidRPr="009C491D">
        <w:rPr>
          <w:rFonts w:ascii="Palatino Linotype" w:hAnsi="Palatino Linotype" w:cs="Arial"/>
        </w:rPr>
        <w:t xml:space="preserve"> que la publicidad de la fotografía permitiría otorgar certeza jurídica al ahora</w:t>
      </w:r>
      <w:r w:rsidRPr="009C491D">
        <w:rPr>
          <w:rFonts w:ascii="Palatino Linotype" w:hAnsi="Palatino Linotype" w:cs="Arial"/>
          <w:b/>
        </w:rPr>
        <w:t xml:space="preserve"> </w:t>
      </w:r>
      <w:r w:rsidR="009C491D" w:rsidRPr="009C491D">
        <w:rPr>
          <w:rFonts w:ascii="Palatino Linotype" w:hAnsi="Palatino Linotype" w:cs="Arial"/>
        </w:rPr>
        <w:t xml:space="preserve">Recurrente </w:t>
      </w:r>
      <w:r w:rsidRPr="009C491D">
        <w:rPr>
          <w:rFonts w:ascii="Palatino Linotype" w:hAnsi="Palatino Linotype" w:cs="Arial"/>
        </w:rPr>
        <w:t xml:space="preserve">de quién se desempeña en el cargo público, </w:t>
      </w:r>
      <w:r w:rsidR="009C491D">
        <w:rPr>
          <w:rFonts w:ascii="Palatino Linotype" w:hAnsi="Palatino Linotype" w:cs="Arial"/>
        </w:rPr>
        <w:t>atentos</w:t>
      </w:r>
      <w:r w:rsidRPr="009C491D">
        <w:rPr>
          <w:rFonts w:ascii="Palatino Linotype" w:hAnsi="Palatino Linotype" w:cs="Arial"/>
        </w:rPr>
        <w:t xml:space="preserve"> al principio consagrado en el artículo 9°, fracción I, de la Ley de la materia.</w:t>
      </w:r>
    </w:p>
    <w:p w:rsidR="00403972" w:rsidRPr="00403972" w:rsidRDefault="00403972" w:rsidP="001533C0">
      <w:pPr>
        <w:spacing w:after="0" w:line="276" w:lineRule="auto"/>
        <w:jc w:val="both"/>
        <w:rPr>
          <w:rFonts w:ascii="Palatino Linotype" w:hAnsi="Palatino Linotype" w:cs="Arial"/>
          <w:sz w:val="24"/>
          <w:szCs w:val="24"/>
        </w:rPr>
      </w:pPr>
    </w:p>
    <w:p w:rsidR="00403972" w:rsidRPr="009C491D" w:rsidRDefault="009C491D" w:rsidP="001533C0">
      <w:pPr>
        <w:autoSpaceDE w:val="0"/>
        <w:autoSpaceDN w:val="0"/>
        <w:adjustRightInd w:val="0"/>
        <w:spacing w:after="0" w:line="276" w:lineRule="auto"/>
        <w:ind w:right="49"/>
        <w:jc w:val="both"/>
        <w:rPr>
          <w:rFonts w:ascii="Palatino Linotype" w:hAnsi="Palatino Linotype" w:cs="Arial"/>
        </w:rPr>
      </w:pPr>
      <w:r>
        <w:rPr>
          <w:rFonts w:ascii="Palatino Linotype" w:hAnsi="Palatino Linotype" w:cs="Arial"/>
        </w:rPr>
        <w:lastRenderedPageBreak/>
        <w:t>Así,</w:t>
      </w:r>
      <w:r w:rsidR="00403972" w:rsidRPr="009C491D">
        <w:rPr>
          <w:rFonts w:ascii="Palatino Linotype" w:hAnsi="Palatino Linotype" w:cs="Arial"/>
          <w:b/>
        </w:rPr>
        <w:t xml:space="preserve"> </w:t>
      </w:r>
      <w:r w:rsidR="00403972" w:rsidRPr="009C491D">
        <w:rPr>
          <w:rFonts w:ascii="Palatino Linotype" w:hAnsi="Palatino Linotype" w:cs="Arial"/>
        </w:rPr>
        <w:t>con independencia de que se comparta el fallo, tanto en lo gen</w:t>
      </w:r>
      <w:r>
        <w:rPr>
          <w:rFonts w:ascii="Palatino Linotype" w:hAnsi="Palatino Linotype" w:cs="Arial"/>
        </w:rPr>
        <w:t xml:space="preserve">eral como en su sentido, </w:t>
      </w:r>
      <w:r w:rsidR="00403972" w:rsidRPr="009C491D">
        <w:rPr>
          <w:rFonts w:ascii="Palatino Linotype" w:hAnsi="Palatino Linotype" w:cs="Arial"/>
        </w:rPr>
        <w:t>se insiste únicamente que no es procedente la clasificación de la fotografía de los servidores públicos de quienes se ordena la entrega de la documentación, pues</w:t>
      </w:r>
      <w:r>
        <w:rPr>
          <w:rFonts w:ascii="Palatino Linotype" w:hAnsi="Palatino Linotype" w:cs="Arial"/>
        </w:rPr>
        <w:t xml:space="preserve"> esta se encuentra en los documentos que acreditan su grado de estudios y,</w:t>
      </w:r>
      <w:r w:rsidR="00403972" w:rsidRPr="009C491D">
        <w:rPr>
          <w:rFonts w:ascii="Palatino Linotype" w:hAnsi="Palatino Linotype" w:cs="Arial"/>
        </w:rPr>
        <w:t xml:space="preserve"> de acuerdo a </w:t>
      </w:r>
      <w:r>
        <w:rPr>
          <w:rFonts w:ascii="Palatino Linotype" w:hAnsi="Palatino Linotype" w:cs="Arial"/>
        </w:rPr>
        <w:t>su</w:t>
      </w:r>
      <w:r w:rsidR="00403972" w:rsidRPr="009C491D">
        <w:rPr>
          <w:rFonts w:ascii="Palatino Linotype" w:hAnsi="Palatino Linotype" w:cs="Arial"/>
        </w:rPr>
        <w:t xml:space="preserve"> naturaleza</w:t>
      </w:r>
      <w:r>
        <w:rPr>
          <w:rFonts w:ascii="Palatino Linotype" w:hAnsi="Palatino Linotype" w:cs="Arial"/>
        </w:rPr>
        <w:t>,</w:t>
      </w:r>
      <w:r w:rsidR="00403972" w:rsidRPr="009C491D">
        <w:rPr>
          <w:rFonts w:ascii="Palatino Linotype" w:hAnsi="Palatino Linotype" w:cs="Arial"/>
        </w:rPr>
        <w:t xml:space="preserve"> </w:t>
      </w:r>
      <w:r>
        <w:rPr>
          <w:rFonts w:ascii="Palatino Linotype" w:hAnsi="Palatino Linotype" w:cs="Arial"/>
        </w:rPr>
        <w:t>estos documentos son</w:t>
      </w:r>
      <w:r w:rsidR="00403972" w:rsidRPr="009C491D">
        <w:rPr>
          <w:rFonts w:ascii="Palatino Linotype" w:hAnsi="Palatino Linotype" w:cs="Arial"/>
        </w:rPr>
        <w:t xml:space="preserve"> de interés general y de alcance público, aunado a que la ciudadanía tiene derecho a </w:t>
      </w:r>
      <w:r>
        <w:rPr>
          <w:rFonts w:ascii="Palatino Linotype" w:hAnsi="Palatino Linotype" w:cs="Arial"/>
        </w:rPr>
        <w:t>conocer el nivel de preparación de</w:t>
      </w:r>
      <w:r w:rsidR="00403972" w:rsidRPr="009C491D">
        <w:rPr>
          <w:rFonts w:ascii="Palatino Linotype" w:hAnsi="Palatino Linotype" w:cs="Arial"/>
        </w:rPr>
        <w:t xml:space="preserve"> qui</w:t>
      </w:r>
      <w:r>
        <w:rPr>
          <w:rFonts w:ascii="Palatino Linotype" w:hAnsi="Palatino Linotype" w:cs="Arial"/>
        </w:rPr>
        <w:t>e</w:t>
      </w:r>
      <w:r w:rsidR="00403972" w:rsidRPr="009C491D">
        <w:rPr>
          <w:rFonts w:ascii="Palatino Linotype" w:hAnsi="Palatino Linotype" w:cs="Arial"/>
        </w:rPr>
        <w:t>nes ejercen actos de autoridad a través del servicio público</w:t>
      </w:r>
      <w:bookmarkStart w:id="0" w:name="_GoBack"/>
      <w:bookmarkEnd w:id="0"/>
      <w:r w:rsidR="00403972" w:rsidRPr="009C491D">
        <w:rPr>
          <w:rFonts w:ascii="Palatino Linotype" w:hAnsi="Palatino Linotype" w:cs="Arial"/>
        </w:rPr>
        <w:t>.</w:t>
      </w:r>
    </w:p>
    <w:p w:rsidR="00071DD4" w:rsidRPr="009C491D" w:rsidRDefault="00071DD4" w:rsidP="001533C0">
      <w:pPr>
        <w:spacing w:after="0" w:line="276" w:lineRule="auto"/>
        <w:jc w:val="both"/>
        <w:rPr>
          <w:rFonts w:ascii="Palatino Linotype" w:hAnsi="Palatino Linotype" w:cs="Tahoma"/>
        </w:rPr>
      </w:pPr>
    </w:p>
    <w:p w:rsidR="00071DD4" w:rsidRPr="009C491D" w:rsidRDefault="00071DD4" w:rsidP="001533C0">
      <w:pPr>
        <w:spacing w:after="0" w:line="276" w:lineRule="auto"/>
        <w:jc w:val="both"/>
        <w:rPr>
          <w:rFonts w:ascii="Palatino Linotype" w:hAnsi="Palatino Linotype" w:cs="Tahoma"/>
        </w:rPr>
      </w:pPr>
      <w:r w:rsidRPr="009C491D">
        <w:rPr>
          <w:rFonts w:ascii="Palatino Linotype" w:hAnsi="Palatino Linotype" w:cs="Tahoma"/>
        </w:rPr>
        <w:t xml:space="preserve">Así, con base en los razonamientos expuestos, </w:t>
      </w:r>
      <w:r w:rsidRPr="009C491D">
        <w:rPr>
          <w:rFonts w:ascii="Palatino Linotype" w:hAnsi="Palatino Linotype" w:cs="Tahoma"/>
          <w:b/>
        </w:rPr>
        <w:t>se emite el presente Voto Particular</w:t>
      </w:r>
      <w:r w:rsidRPr="009C491D">
        <w:rPr>
          <w:rFonts w:ascii="Palatino Linotype" w:hAnsi="Palatino Linotype" w:cs="Tahoma"/>
        </w:rPr>
        <w:t>.</w:t>
      </w:r>
    </w:p>
    <w:p w:rsidR="00E736A9" w:rsidRPr="009C491D" w:rsidRDefault="00E736A9" w:rsidP="001533C0">
      <w:pPr>
        <w:spacing w:after="0" w:line="276" w:lineRule="auto"/>
        <w:jc w:val="center"/>
        <w:rPr>
          <w:rFonts w:ascii="Palatino Linotype" w:hAnsi="Palatino Linotype" w:cs="Tahoma"/>
          <w:b/>
        </w:rPr>
      </w:pPr>
    </w:p>
    <w:p w:rsidR="00071DD4" w:rsidRPr="009C491D" w:rsidRDefault="00071DD4" w:rsidP="001533C0">
      <w:pPr>
        <w:spacing w:after="0" w:line="276" w:lineRule="auto"/>
        <w:jc w:val="center"/>
        <w:rPr>
          <w:rFonts w:ascii="Palatino Linotype" w:hAnsi="Palatino Linotype" w:cs="Tahoma"/>
          <w:b/>
        </w:rPr>
      </w:pPr>
      <w:r w:rsidRPr="009C491D">
        <w:rPr>
          <w:rFonts w:ascii="Palatino Linotype" w:hAnsi="Palatino Linotype" w:cs="Tahoma"/>
          <w:b/>
        </w:rPr>
        <w:t>(Rúbrica)</w:t>
      </w:r>
    </w:p>
    <w:p w:rsidR="00071DD4" w:rsidRPr="009C491D" w:rsidRDefault="00071DD4" w:rsidP="001533C0">
      <w:pPr>
        <w:spacing w:after="0" w:line="276" w:lineRule="auto"/>
        <w:jc w:val="both"/>
        <w:rPr>
          <w:rFonts w:ascii="Palatino Linotype" w:hAnsi="Palatino Linotype" w:cs="Tahoma"/>
        </w:rPr>
      </w:pPr>
    </w:p>
    <w:p w:rsidR="00071DD4" w:rsidRPr="009C491D" w:rsidRDefault="00071DD4" w:rsidP="001533C0">
      <w:pPr>
        <w:spacing w:after="0" w:line="276" w:lineRule="auto"/>
        <w:jc w:val="center"/>
        <w:rPr>
          <w:rFonts w:ascii="Palatino Linotype" w:hAnsi="Palatino Linotype" w:cs="Tahoma"/>
          <w:b/>
        </w:rPr>
      </w:pPr>
      <w:r w:rsidRPr="009C491D">
        <w:rPr>
          <w:rFonts w:ascii="Palatino Linotype" w:hAnsi="Palatino Linotype" w:cs="Tahoma"/>
          <w:b/>
        </w:rPr>
        <w:t>Luis Gustavo Parra Noriega</w:t>
      </w:r>
    </w:p>
    <w:p w:rsidR="00040AE0" w:rsidRPr="009C491D" w:rsidRDefault="00071DD4" w:rsidP="001533C0">
      <w:pPr>
        <w:spacing w:after="0" w:line="276" w:lineRule="auto"/>
        <w:jc w:val="center"/>
        <w:rPr>
          <w:rFonts w:ascii="Palatino Linotype" w:hAnsi="Palatino Linotype"/>
        </w:rPr>
      </w:pPr>
      <w:r w:rsidRPr="009C491D">
        <w:rPr>
          <w:rFonts w:ascii="Palatino Linotype" w:hAnsi="Palatino Linotype" w:cs="Tahoma"/>
        </w:rPr>
        <w:t>Comisionado</w:t>
      </w:r>
    </w:p>
    <w:sectPr w:rsidR="00040AE0" w:rsidRPr="009C491D" w:rsidSect="008B303E">
      <w:headerReference w:type="default" r:id="rId7"/>
      <w:footerReference w:type="default" r:id="rId8"/>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F12" w:rsidRDefault="00347F12">
      <w:pPr>
        <w:spacing w:after="0" w:line="240" w:lineRule="auto"/>
      </w:pPr>
      <w:r>
        <w:separator/>
      </w:r>
    </w:p>
  </w:endnote>
  <w:endnote w:type="continuationSeparator" w:id="0">
    <w:p w:rsidR="00347F12" w:rsidRDefault="0034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C491D">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C491D">
              <w:rPr>
                <w:b/>
                <w:bCs/>
                <w:noProof/>
              </w:rPr>
              <w:t>10</w:t>
            </w:r>
            <w:r>
              <w:rPr>
                <w:b/>
                <w:bCs/>
                <w:sz w:val="24"/>
                <w:szCs w:val="24"/>
              </w:rPr>
              <w:fldChar w:fldCharType="end"/>
            </w:r>
          </w:p>
        </w:sdtContent>
      </w:sdt>
    </w:sdtContent>
  </w:sdt>
  <w:p w:rsidR="007C4D31" w:rsidRDefault="00347F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F12" w:rsidRDefault="00347F12">
      <w:pPr>
        <w:spacing w:after="0" w:line="240" w:lineRule="auto"/>
      </w:pPr>
      <w:r>
        <w:separator/>
      </w:r>
    </w:p>
  </w:footnote>
  <w:footnote w:type="continuationSeparator" w:id="0">
    <w:p w:rsidR="00347F12" w:rsidRDefault="00347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6378"/>
    </w:tblGrid>
    <w:tr w:rsidR="0077694E" w:rsidRPr="001106EA" w:rsidTr="007139EA">
      <w:trPr>
        <w:trHeight w:val="2280"/>
      </w:trPr>
      <w:tc>
        <w:tcPr>
          <w:tcW w:w="2836"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347F12" w:rsidP="0077694E">
          <w:pPr>
            <w:pStyle w:val="Encabezado"/>
            <w:tabs>
              <w:tab w:val="clear" w:pos="4252"/>
              <w:tab w:val="center" w:pos="2614"/>
            </w:tabs>
          </w:pPr>
        </w:p>
      </w:tc>
      <w:tc>
        <w:tcPr>
          <w:tcW w:w="6378" w:type="dxa"/>
          <w:vAlign w:val="center"/>
        </w:tcPr>
        <w:p w:rsidR="001106EA" w:rsidRPr="001106EA" w:rsidRDefault="00347F12"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E27C76" w:rsidRDefault="00F42117" w:rsidP="007139EA">
          <w:pPr>
            <w:pStyle w:val="Encabezado"/>
            <w:tabs>
              <w:tab w:val="left" w:pos="6134"/>
            </w:tabs>
            <w:ind w:left="-108" w:right="-250"/>
            <w:jc w:val="both"/>
            <w:rPr>
              <w:rFonts w:ascii="Palatino Linotype" w:hAnsi="Palatino Linotype" w:cs="Tahoma"/>
              <w:b/>
              <w:lang w:val="es-ES_tradnl"/>
            </w:rPr>
          </w:pPr>
          <w:r w:rsidRPr="008B303E">
            <w:rPr>
              <w:rFonts w:ascii="Palatino Linotype" w:hAnsi="Palatino Linotype" w:cs="Tahoma"/>
              <w:b/>
            </w:rPr>
            <w:t>Recurso de Revisión: 03</w:t>
          </w:r>
          <w:r w:rsidR="00B3298D">
            <w:rPr>
              <w:rFonts w:ascii="Palatino Linotype" w:hAnsi="Palatino Linotype" w:cs="Tahoma"/>
              <w:b/>
            </w:rPr>
            <w:t>984</w:t>
          </w:r>
          <w:r w:rsidRPr="008B303E">
            <w:rPr>
              <w:rFonts w:ascii="Palatino Linotype" w:hAnsi="Palatino Linotype" w:cs="Tahoma"/>
              <w:b/>
            </w:rPr>
            <w:t>/INFOEM/IP/RR/2018</w:t>
          </w:r>
          <w:r w:rsidR="006812A4">
            <w:rPr>
              <w:rFonts w:ascii="Palatino Linotype" w:hAnsi="Palatino Linotype" w:cs="Tahoma"/>
              <w:b/>
            </w:rPr>
            <w:t xml:space="preserve"> </w:t>
          </w:r>
        </w:p>
        <w:p w:rsidR="008B303E" w:rsidRPr="00E27C76" w:rsidRDefault="008B303E" w:rsidP="006812A4">
          <w:pPr>
            <w:pStyle w:val="Encabezado"/>
            <w:tabs>
              <w:tab w:val="left" w:pos="6134"/>
            </w:tabs>
            <w:ind w:left="-108" w:right="-250"/>
            <w:jc w:val="both"/>
            <w:rPr>
              <w:rFonts w:ascii="Palatino Linotype" w:hAnsi="Palatino Linotype" w:cs="Tahoma"/>
              <w:b/>
              <w:lang w:val="es-ES_tradnl"/>
            </w:rPr>
          </w:pPr>
          <w:r>
            <w:rPr>
              <w:rFonts w:ascii="Palatino Linotype" w:hAnsi="Palatino Linotype" w:cs="Tahoma"/>
              <w:b/>
              <w:lang w:val="es-ES_tradnl"/>
            </w:rPr>
            <w:t xml:space="preserve">Sujeto Obligado: </w:t>
          </w:r>
          <w:r w:rsidR="00B3298D">
            <w:rPr>
              <w:rFonts w:ascii="Palatino Linotype" w:hAnsi="Palatino Linotype" w:cs="Tahoma"/>
              <w:b/>
              <w:lang w:val="es-ES_tradnl"/>
            </w:rPr>
            <w:t>Organismo Agua y Saneamiento de Toluca</w:t>
          </w:r>
        </w:p>
        <w:p w:rsidR="00D17F1D" w:rsidRPr="001106EA" w:rsidRDefault="00F42117" w:rsidP="00B3298D">
          <w:pPr>
            <w:pStyle w:val="Encabezado"/>
            <w:tabs>
              <w:tab w:val="left" w:pos="6134"/>
            </w:tabs>
            <w:ind w:left="-108" w:right="-250"/>
            <w:jc w:val="both"/>
            <w:rPr>
              <w:rFonts w:ascii="Tahoma" w:hAnsi="Tahoma" w:cs="Tahoma"/>
            </w:rPr>
          </w:pPr>
          <w:r w:rsidRPr="008B303E">
            <w:rPr>
              <w:rFonts w:ascii="Palatino Linotype" w:hAnsi="Palatino Linotype" w:cs="Tahoma"/>
              <w:b/>
            </w:rPr>
            <w:t xml:space="preserve">Comisionado Ponente: </w:t>
          </w:r>
          <w:r w:rsidR="00B3298D">
            <w:rPr>
              <w:rFonts w:ascii="Palatino Linotype" w:hAnsi="Palatino Linotype" w:cs="Tahoma"/>
              <w:b/>
            </w:rPr>
            <w:t>Javier Martínez Cruz</w:t>
          </w:r>
        </w:p>
      </w:tc>
    </w:tr>
  </w:tbl>
  <w:p w:rsidR="00D55429" w:rsidRPr="001106EA" w:rsidRDefault="00347F12">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71BAA"/>
    <w:multiLevelType w:val="hybridMultilevel"/>
    <w:tmpl w:val="B896F3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9A0626"/>
    <w:multiLevelType w:val="hybridMultilevel"/>
    <w:tmpl w:val="684497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7E4B5BAA"/>
    <w:multiLevelType w:val="hybridMultilevel"/>
    <w:tmpl w:val="53DC9B4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070E1"/>
    <w:rsid w:val="00037555"/>
    <w:rsid w:val="000666DE"/>
    <w:rsid w:val="00071DD4"/>
    <w:rsid w:val="000B381B"/>
    <w:rsid w:val="001533C0"/>
    <w:rsid w:val="001E087F"/>
    <w:rsid w:val="0022580A"/>
    <w:rsid w:val="002E006C"/>
    <w:rsid w:val="003125C4"/>
    <w:rsid w:val="0032434B"/>
    <w:rsid w:val="00340519"/>
    <w:rsid w:val="00347F12"/>
    <w:rsid w:val="003A5EE0"/>
    <w:rsid w:val="003C539F"/>
    <w:rsid w:val="00403972"/>
    <w:rsid w:val="00412102"/>
    <w:rsid w:val="004F46AD"/>
    <w:rsid w:val="00503F24"/>
    <w:rsid w:val="0054694C"/>
    <w:rsid w:val="00553CAC"/>
    <w:rsid w:val="00562484"/>
    <w:rsid w:val="005D5183"/>
    <w:rsid w:val="006812A4"/>
    <w:rsid w:val="00697B29"/>
    <w:rsid w:val="006B59E0"/>
    <w:rsid w:val="006E5592"/>
    <w:rsid w:val="007139EA"/>
    <w:rsid w:val="007A328C"/>
    <w:rsid w:val="007B4483"/>
    <w:rsid w:val="007C023A"/>
    <w:rsid w:val="007C0333"/>
    <w:rsid w:val="007F4F7D"/>
    <w:rsid w:val="00804CF9"/>
    <w:rsid w:val="00820039"/>
    <w:rsid w:val="0085359C"/>
    <w:rsid w:val="008B303E"/>
    <w:rsid w:val="00906D21"/>
    <w:rsid w:val="00997769"/>
    <w:rsid w:val="009B15DD"/>
    <w:rsid w:val="009C491D"/>
    <w:rsid w:val="009C682F"/>
    <w:rsid w:val="009E4D5A"/>
    <w:rsid w:val="009F3C0A"/>
    <w:rsid w:val="00A37921"/>
    <w:rsid w:val="00AB0D44"/>
    <w:rsid w:val="00AF0152"/>
    <w:rsid w:val="00B16EBE"/>
    <w:rsid w:val="00B303A4"/>
    <w:rsid w:val="00B3298D"/>
    <w:rsid w:val="00B43F4B"/>
    <w:rsid w:val="00BC17C1"/>
    <w:rsid w:val="00BF00D7"/>
    <w:rsid w:val="00CA4BCB"/>
    <w:rsid w:val="00D0798A"/>
    <w:rsid w:val="00D20916"/>
    <w:rsid w:val="00D84D7B"/>
    <w:rsid w:val="00DB03B7"/>
    <w:rsid w:val="00DF1276"/>
    <w:rsid w:val="00E15FAE"/>
    <w:rsid w:val="00E27C76"/>
    <w:rsid w:val="00E30C42"/>
    <w:rsid w:val="00E736A9"/>
    <w:rsid w:val="00E74654"/>
    <w:rsid w:val="00EA3C57"/>
    <w:rsid w:val="00EC3656"/>
    <w:rsid w:val="00F42117"/>
    <w:rsid w:val="00F471A3"/>
    <w:rsid w:val="00F86F4C"/>
    <w:rsid w:val="00FD4B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3038</Words>
  <Characters>16713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3</cp:revision>
  <dcterms:created xsi:type="dcterms:W3CDTF">2018-12-14T22:57:00Z</dcterms:created>
  <dcterms:modified xsi:type="dcterms:W3CDTF">2018-12-17T19:01:00Z</dcterms:modified>
</cp:coreProperties>
</file>